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EDITAL DE LEILÃO ELETRÔNICO PARA CONHECIMENTO DE INTERESSADOS E INTIMAÇÃO DO(S) EXECUTADO(S)</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i w:val="0"/>
          <w:smallCaps w:val="0"/>
          <w:strike w:val="0"/>
          <w:color w:val="000000"/>
          <w:sz w:val="22"/>
          <w:szCs w:val="22"/>
          <w:u w:val="none"/>
          <w:vertAlign w:val="baseline"/>
          <w:rtl w:val="0"/>
        </w:rPr>
        <w:t xml:space="preserve">O Dr. Antonio Carlos de Figueiredo Negreiros, M.Mº. Juiz de Direito da 7ª Vara Cível do Foro Central da Comarca da Capital do Estado de São Paulo.</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07">
      <w:pPr>
        <w:spacing w:line="360" w:lineRule="auto"/>
        <w:ind w:left="-567" w:right="-568" w:firstLine="0"/>
        <w:jc w:val="both"/>
        <w:rPr>
          <w:rFonts w:ascii="Tahoma" w:cs="Tahoma" w:eastAsia="Tahoma" w:hAnsi="Tahoma"/>
          <w:b w:val="1"/>
          <w:color w:val="000000"/>
        </w:rPr>
      </w:pPr>
      <w:r w:rsidDel="00000000" w:rsidR="00000000" w:rsidRPr="00000000">
        <w:rPr>
          <w:rFonts w:ascii="Tahoma" w:cs="Tahoma" w:eastAsia="Tahoma" w:hAnsi="Tahoma"/>
          <w:b w:val="1"/>
          <w:color w:val="000000"/>
          <w:rtl w:val="0"/>
        </w:rPr>
        <w:t xml:space="preserve">FAZ SABER A TODOS QUANTO ESSE EDITAL VIREM OU DELE CONHECIMENTO TIVEREM e INTERESSADOS POSSA, com fulcro nos arts. 879 ao 903, do Novo CPC (Lei nº 13105/15), regulamentado pela Resolução CNJ 236/2016, e art. 250 e seguintes das Normas de Serviços da Corregedoria Geral do E. Tribunal de Justiça do Estado de São Paulo,</w:t>
      </w:r>
      <w:r w:rsidDel="00000000" w:rsidR="00000000" w:rsidRPr="00000000">
        <w:rPr>
          <w:rFonts w:ascii="Tahoma" w:cs="Tahoma" w:eastAsia="Tahoma" w:hAnsi="Tahoma"/>
          <w:color w:val="000000"/>
          <w:rtl w:val="0"/>
        </w:rPr>
        <w:t xml:space="preserve"> que o leiloeiro nomeado, Tiago Tessler Blecher, matriculado na Jucesp sob n.º 1098, com escritório na </w:t>
      </w:r>
      <w:r w:rsidDel="00000000" w:rsidR="00000000" w:rsidRPr="00000000">
        <w:rPr>
          <w:rFonts w:ascii="Tahoma" w:cs="Tahoma" w:eastAsia="Tahoma" w:hAnsi="Tahoma"/>
          <w:rtl w:val="0"/>
        </w:rPr>
        <w:t xml:space="preserve">Rua Natingui, 862 - 3º andar, Conjuntos 311 e 312 Edifício UNE, Vila Madalena, São Paulo – SP, CEP 05443-001</w:t>
      </w:r>
      <w:r w:rsidDel="00000000" w:rsidR="00000000" w:rsidRPr="00000000">
        <w:rPr>
          <w:rFonts w:ascii="Tahoma" w:cs="Tahoma" w:eastAsia="Tahoma" w:hAnsi="Tahoma"/>
          <w:color w:val="000000"/>
          <w:rtl w:val="0"/>
        </w:rPr>
        <w:t xml:space="preserve">, através da plataforma eletrônica </w:t>
      </w:r>
      <w:hyperlink r:id="rId7">
        <w:r w:rsidDel="00000000" w:rsidR="00000000" w:rsidRPr="00000000">
          <w:rPr>
            <w:rFonts w:ascii="Tahoma" w:cs="Tahoma" w:eastAsia="Tahoma" w:hAnsi="Tahoma"/>
            <w:color w:val="0563c1"/>
            <w:u w:val="single"/>
            <w:rtl w:val="0"/>
          </w:rPr>
          <w:t xml:space="preserve">www.webleiloes.com.br</w:t>
        </w:r>
      </w:hyperlink>
      <w:r w:rsidDel="00000000" w:rsidR="00000000" w:rsidRPr="00000000">
        <w:rPr>
          <w:rFonts w:ascii="Tahoma" w:cs="Tahoma" w:eastAsia="Tahoma" w:hAnsi="Tahoma"/>
          <w:rtl w:val="0"/>
        </w:rPr>
        <w:t xml:space="preserve">,</w:t>
      </w:r>
      <w:r w:rsidDel="00000000" w:rsidR="00000000" w:rsidRPr="00000000">
        <w:rPr>
          <w:rFonts w:ascii="Tahoma" w:cs="Tahoma" w:eastAsia="Tahoma" w:hAnsi="Tahoma"/>
          <w:color w:val="000000"/>
          <w:rtl w:val="0"/>
        </w:rPr>
        <w:t xml:space="preserve"> devidamente homologada pelo Egrégio Tribunal de Justiça do Estado de São Paulo, levará a público para venda e arrematação, o bem descrito abaixo, de acordo com as regras expostas a seguir:</w:t>
      </w:r>
      <w:r w:rsidDel="00000000" w:rsidR="00000000" w:rsidRPr="00000000">
        <w:rPr>
          <w:rFonts w:ascii="Tahoma" w:cs="Tahoma" w:eastAsia="Tahoma" w:hAnsi="Tahoma"/>
          <w:b w:val="1"/>
          <w:color w:val="000000"/>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PROCESSO N°. 0092015-52.2018.8.26.0100 </w:t>
      </w:r>
      <w:r w:rsidDel="00000000" w:rsidR="00000000" w:rsidRPr="00000000">
        <w:rPr>
          <w:rFonts w:ascii="Tahoma" w:cs="Tahoma" w:eastAsia="Tahoma" w:hAnsi="Tahoma"/>
          <w:i w:val="0"/>
          <w:smallCaps w:val="0"/>
          <w:strike w:val="0"/>
          <w:color w:val="000000"/>
          <w:sz w:val="22"/>
          <w:szCs w:val="22"/>
          <w:u w:val="none"/>
          <w:vertAlign w:val="baseline"/>
          <w:rtl w:val="0"/>
        </w:rPr>
        <w:t xml:space="preserve">-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CLASSE: CUMPRIMENTO DE SENTENÇA - INADIMPLEMENTO</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EXEQUENTE: </w:t>
      </w:r>
      <w:r w:rsidDel="00000000" w:rsidR="00000000" w:rsidRPr="00000000">
        <w:rPr>
          <w:rFonts w:ascii="Tahoma" w:cs="Tahoma" w:eastAsia="Tahoma" w:hAnsi="Tahoma"/>
          <w:i w:val="0"/>
          <w:smallCaps w:val="0"/>
          <w:strike w:val="0"/>
          <w:color w:val="000000"/>
          <w:sz w:val="22"/>
          <w:szCs w:val="22"/>
          <w:u w:val="none"/>
          <w:vertAlign w:val="baseline"/>
          <w:rtl w:val="0"/>
        </w:rPr>
        <w:t xml:space="preserve">VERA LÚCIA CONSTANTINO MONTEIRO SANTOS (CPF Nº 152.940.018-02).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EXECUTADO: </w:t>
      </w:r>
      <w:r w:rsidDel="00000000" w:rsidR="00000000" w:rsidRPr="00000000">
        <w:rPr>
          <w:rFonts w:ascii="Tahoma" w:cs="Tahoma" w:eastAsia="Tahoma" w:hAnsi="Tahoma"/>
          <w:i w:val="0"/>
          <w:smallCaps w:val="0"/>
          <w:strike w:val="0"/>
          <w:color w:val="000000"/>
          <w:sz w:val="22"/>
          <w:szCs w:val="22"/>
          <w:u w:val="none"/>
          <w:vertAlign w:val="baseline"/>
          <w:rtl w:val="0"/>
        </w:rPr>
        <w:t xml:space="preserve">S.H. INOUE SALDÃO ME (CNPJ Nº 17.569.126/0001-84), SATIKO HAMADA INOUE (CPF Nº 670.917.178-72) E CARLOS MASSATO INOUE (CPF Nº 570.319.168-87).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INTERESSADOS: </w:t>
      </w:r>
      <w:r w:rsidDel="00000000" w:rsidR="00000000" w:rsidRPr="00000000">
        <w:rPr>
          <w:rFonts w:ascii="Tahoma" w:cs="Tahoma" w:eastAsia="Tahoma" w:hAnsi="Tahoma"/>
          <w:i w:val="0"/>
          <w:smallCaps w:val="0"/>
          <w:strike w:val="0"/>
          <w:color w:val="000000"/>
          <w:sz w:val="22"/>
          <w:szCs w:val="22"/>
          <w:u w:val="none"/>
          <w:vertAlign w:val="baseline"/>
          <w:rtl w:val="0"/>
        </w:rPr>
        <w:t xml:space="preserve">PREFEITURA MUNICIPAL DE SÃO PAULO/SP (CNPJ Nº  46.395.000/0001-39).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ADVOGADOS: </w:t>
      </w:r>
      <w:r w:rsidDel="00000000" w:rsidR="00000000" w:rsidRPr="00000000">
        <w:rPr>
          <w:rFonts w:ascii="Tahoma" w:cs="Tahoma" w:eastAsia="Tahoma" w:hAnsi="Tahoma"/>
          <w:i w:val="0"/>
          <w:smallCaps w:val="0"/>
          <w:strike w:val="0"/>
          <w:color w:val="000000"/>
          <w:sz w:val="22"/>
          <w:szCs w:val="22"/>
          <w:u w:val="none"/>
          <w:vertAlign w:val="baseline"/>
          <w:rtl w:val="0"/>
        </w:rPr>
        <w:t xml:space="preserve">ANSELMO TEIXEIRA PINTO JUNIOR (OAB 146134/SP)</w:t>
      </w:r>
      <w:r w:rsidDel="00000000" w:rsidR="00000000" w:rsidRPr="00000000">
        <w:rPr>
          <w:rFonts w:ascii="Tahoma" w:cs="Tahoma" w:eastAsia="Tahoma" w:hAnsi="Tahoma"/>
          <w:rtl w:val="0"/>
        </w:rPr>
        <w:t xml:space="preserv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DÉBITOS DA AÇÃO: </w:t>
      </w:r>
      <w:r w:rsidDel="00000000" w:rsidR="00000000" w:rsidRPr="00000000">
        <w:rPr>
          <w:rFonts w:ascii="Tahoma" w:cs="Tahoma" w:eastAsia="Tahoma" w:hAnsi="Tahoma"/>
          <w:i w:val="0"/>
          <w:smallCaps w:val="0"/>
          <w:strike w:val="0"/>
          <w:color w:val="000000"/>
          <w:sz w:val="22"/>
          <w:szCs w:val="22"/>
          <w:u w:val="none"/>
          <w:vertAlign w:val="baseline"/>
          <w:rtl w:val="0"/>
        </w:rPr>
        <w:t xml:space="preserve">Os débitos totalizam R$ 401.926,86 (quatrocentos e um mil, novecentos e vinte e seis reais e oitenta e seis centavos), em Abril de 2021, de acordo com a planilha de cálculos juntada às fls. 246/247 dos autos. A atualização dos débitos vencidos e vincendos, até a sua integral satisfação, fica a encargo do exequente </w:t>
      </w:r>
      <w:r w:rsidDel="00000000" w:rsidR="00000000" w:rsidRPr="00000000">
        <w:rPr>
          <w:rFonts w:ascii="Tahoma" w:cs="Tahoma" w:eastAsia="Tahoma" w:hAnsi="Tahoma"/>
          <w:rtl w:val="0"/>
        </w:rPr>
        <w:t xml:space="preserve">disponibilizar</w:t>
      </w:r>
      <w:r w:rsidDel="00000000" w:rsidR="00000000" w:rsidRPr="00000000">
        <w:rPr>
          <w:rFonts w:ascii="Tahoma" w:cs="Tahoma" w:eastAsia="Tahoma" w:hAnsi="Tahoma"/>
          <w:i w:val="0"/>
          <w:smallCaps w:val="0"/>
          <w:strike w:val="0"/>
          <w:color w:val="000000"/>
          <w:sz w:val="22"/>
          <w:szCs w:val="22"/>
          <w:u w:val="none"/>
          <w:vertAlign w:val="baseline"/>
          <w:rtl w:val="0"/>
        </w:rPr>
        <w:t xml:space="preserve"> nos autos.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DO BEM: </w:t>
      </w:r>
      <w:r w:rsidDel="00000000" w:rsidR="00000000" w:rsidRPr="00000000">
        <w:rPr>
          <w:rFonts w:ascii="Tahoma" w:cs="Tahoma" w:eastAsia="Tahoma" w:hAnsi="Tahoma"/>
          <w:i w:val="0"/>
          <w:smallCaps w:val="0"/>
          <w:strike w:val="0"/>
          <w:color w:val="000000"/>
          <w:sz w:val="22"/>
          <w:szCs w:val="22"/>
          <w:u w:val="none"/>
          <w:vertAlign w:val="baseline"/>
          <w:rtl w:val="0"/>
        </w:rPr>
        <w:t xml:space="preserve">Um</w:t>
      </w:r>
      <w:r w:rsidDel="00000000" w:rsidR="00000000" w:rsidRPr="00000000">
        <w:rPr>
          <w:rFonts w:ascii="Tahoma" w:cs="Tahoma" w:eastAsia="Tahoma" w:hAnsi="Tahoma"/>
          <w:rtl w:val="0"/>
        </w:rPr>
        <w:t xml:space="preserve"> terreno situado a</w:t>
      </w:r>
      <w:r w:rsidDel="00000000" w:rsidR="00000000" w:rsidRPr="00000000">
        <w:rPr>
          <w:rFonts w:ascii="Tahoma" w:cs="Tahoma" w:eastAsia="Tahoma" w:hAnsi="Tahoma"/>
          <w:i w:val="0"/>
          <w:smallCaps w:val="0"/>
          <w:strike w:val="0"/>
          <w:color w:val="000000"/>
          <w:sz w:val="22"/>
          <w:szCs w:val="22"/>
          <w:u w:val="none"/>
          <w:vertAlign w:val="baseline"/>
          <w:rtl w:val="0"/>
        </w:rPr>
        <w:t xml:space="preserve"> Rua César Pena Ramos, antiga Rua Luiza, esquina com a Rua </w:t>
      </w:r>
      <w:r w:rsidDel="00000000" w:rsidR="00000000" w:rsidRPr="00000000">
        <w:rPr>
          <w:rFonts w:ascii="Tahoma" w:cs="Tahoma" w:eastAsia="Tahoma" w:hAnsi="Tahoma"/>
          <w:rtl w:val="0"/>
        </w:rPr>
        <w:t xml:space="preserve">Olívia,</w:t>
      </w:r>
      <w:r w:rsidDel="00000000" w:rsidR="00000000" w:rsidRPr="00000000">
        <w:rPr>
          <w:rFonts w:ascii="Tahoma" w:cs="Tahoma" w:eastAsia="Tahoma" w:hAnsi="Tahoma"/>
          <w:i w:val="0"/>
          <w:smallCaps w:val="0"/>
          <w:strike w:val="0"/>
          <w:color w:val="000000"/>
          <w:sz w:val="22"/>
          <w:szCs w:val="22"/>
          <w:u w:val="none"/>
          <w:vertAlign w:val="baseline"/>
          <w:rtl w:val="0"/>
        </w:rPr>
        <w:t xml:space="preserve"> constituída de metade do lote 14 da quadra J, da Vila Santa Maria, no 44º Subdistrito - Limão, antes 4º Subdistrito - Nossa Senhora do Ó, medindo 7,50 m de frente, por 17,70m ao longo da Rua </w:t>
      </w:r>
      <w:r w:rsidDel="00000000" w:rsidR="00000000" w:rsidRPr="00000000">
        <w:rPr>
          <w:rFonts w:ascii="Tahoma" w:cs="Tahoma" w:eastAsia="Tahoma" w:hAnsi="Tahoma"/>
          <w:rtl w:val="0"/>
        </w:rPr>
        <w:t xml:space="preserve">Olívia,</w:t>
      </w:r>
      <w:r w:rsidDel="00000000" w:rsidR="00000000" w:rsidRPr="00000000">
        <w:rPr>
          <w:rFonts w:ascii="Tahoma" w:cs="Tahoma" w:eastAsia="Tahoma" w:hAnsi="Tahoma"/>
          <w:i w:val="0"/>
          <w:smallCaps w:val="0"/>
          <w:strike w:val="0"/>
          <w:color w:val="000000"/>
          <w:sz w:val="22"/>
          <w:szCs w:val="22"/>
          <w:u w:val="none"/>
          <w:vertAlign w:val="baseline"/>
          <w:rtl w:val="0"/>
        </w:rPr>
        <w:t xml:space="preserve"> onde faz esquina com a Rua César Pena Ramos, 28,00m do outro lado, onde confronta com o prédio nº 178, antes com o prédio nº 2, de Luiz Caballer e sua mulher e 11,40m nos fundos, onde confina com o prédio nº 341 da Rua </w:t>
      </w:r>
      <w:r w:rsidDel="00000000" w:rsidR="00000000" w:rsidRPr="00000000">
        <w:rPr>
          <w:rFonts w:ascii="Tahoma" w:cs="Tahoma" w:eastAsia="Tahoma" w:hAnsi="Tahoma"/>
          <w:rtl w:val="0"/>
        </w:rPr>
        <w:t xml:space="preserve">Olívia,</w:t>
      </w:r>
      <w:r w:rsidDel="00000000" w:rsidR="00000000" w:rsidRPr="00000000">
        <w:rPr>
          <w:rFonts w:ascii="Tahoma" w:cs="Tahoma" w:eastAsia="Tahoma" w:hAnsi="Tahoma"/>
          <w:i w:val="0"/>
          <w:smallCaps w:val="0"/>
          <w:strike w:val="0"/>
          <w:color w:val="000000"/>
          <w:sz w:val="22"/>
          <w:szCs w:val="22"/>
          <w:u w:val="none"/>
          <w:vertAlign w:val="baseline"/>
          <w:rtl w:val="0"/>
        </w:rPr>
        <w:t xml:space="preserve"> antes com, digo, antes do lote nº 15 da Vila Santa Maria. In</w:t>
      </w:r>
      <w:r w:rsidDel="00000000" w:rsidR="00000000" w:rsidRPr="00000000">
        <w:rPr>
          <w:rFonts w:ascii="Tahoma" w:cs="Tahoma" w:eastAsia="Tahoma" w:hAnsi="Tahoma"/>
          <w:rtl w:val="0"/>
        </w:rPr>
        <w:t xml:space="preserve">s</w:t>
      </w:r>
      <w:r w:rsidDel="00000000" w:rsidR="00000000" w:rsidRPr="00000000">
        <w:rPr>
          <w:rFonts w:ascii="Tahoma" w:cs="Tahoma" w:eastAsia="Tahoma" w:hAnsi="Tahoma"/>
          <w:i w:val="0"/>
          <w:smallCaps w:val="0"/>
          <w:strike w:val="0"/>
          <w:color w:val="000000"/>
          <w:sz w:val="22"/>
          <w:szCs w:val="22"/>
          <w:u w:val="none"/>
          <w:vertAlign w:val="baseline"/>
          <w:rtl w:val="0"/>
        </w:rPr>
        <w:t xml:space="preserve">crito no cadastro dos contribuintes da Prefeitura Municipal sob nº 076.131.0031-6.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Objeto da Matrícula nº 44.558, do 8º Cartório de Registro de Imóveis de São Paulo/SP, Inscrição Municipal nº 076.131.0031-6.</w:t>
      </w:r>
      <w:r w:rsidDel="00000000" w:rsidR="00000000" w:rsidRPr="00000000">
        <w:rPr>
          <w:rFonts w:ascii="Tahoma" w:cs="Tahoma" w:eastAsia="Tahoma" w:hAnsi="Tahoma"/>
          <w:i w:val="0"/>
          <w:smallCaps w:val="0"/>
          <w:strike w:val="0"/>
          <w:color w:val="000000"/>
          <w:sz w:val="22"/>
          <w:szCs w:val="22"/>
          <w:u w:val="none"/>
          <w:vertAlign w:val="baseline"/>
          <w:rtl w:val="0"/>
        </w:rPr>
        <w:t xml:space="preserve">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LOCALIZAÇÃO: </w:t>
      </w:r>
      <w:r w:rsidDel="00000000" w:rsidR="00000000" w:rsidRPr="00000000">
        <w:rPr>
          <w:rFonts w:ascii="Tahoma" w:cs="Tahoma" w:eastAsia="Tahoma" w:hAnsi="Tahoma"/>
          <w:i w:val="0"/>
          <w:smallCaps w:val="0"/>
          <w:strike w:val="0"/>
          <w:color w:val="000000"/>
          <w:sz w:val="22"/>
          <w:szCs w:val="22"/>
          <w:u w:val="none"/>
          <w:vertAlign w:val="baseline"/>
          <w:rtl w:val="0"/>
        </w:rPr>
        <w:t xml:space="preserve">Rua César Penna Ramos, nº 1783 - Limão, São Paulo/SP, CEP: 02561-070.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VALOR DE AVALIAÇÃO: </w:t>
      </w:r>
      <w:r w:rsidDel="00000000" w:rsidR="00000000" w:rsidRPr="00000000">
        <w:rPr>
          <w:rFonts w:ascii="Tahoma" w:cs="Tahoma" w:eastAsia="Tahoma" w:hAnsi="Tahoma"/>
          <w:i w:val="0"/>
          <w:smallCaps w:val="0"/>
          <w:strike w:val="0"/>
          <w:color w:val="000000"/>
          <w:sz w:val="22"/>
          <w:szCs w:val="22"/>
          <w:u w:val="none"/>
          <w:vertAlign w:val="baseline"/>
          <w:rtl w:val="0"/>
        </w:rPr>
        <w:t xml:space="preserve">R$ 881.000,00 (oitocentos e oitenta e um mil reais), em Agosto de 2020.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VALOR DE AVALIAÇÃO ATUALIZADO:</w:t>
      </w:r>
      <w:r w:rsidDel="00000000" w:rsidR="00000000" w:rsidRPr="00000000">
        <w:rPr>
          <w:rFonts w:ascii="Tahoma" w:cs="Tahoma" w:eastAsia="Tahoma" w:hAnsi="Tahoma"/>
          <w:b w:val="1"/>
          <w:i w:val="0"/>
          <w:smallCaps w:val="0"/>
          <w:strike w:val="0"/>
          <w:sz w:val="22"/>
          <w:szCs w:val="22"/>
          <w:u w:val="none"/>
          <w:vertAlign w:val="baseline"/>
          <w:rtl w:val="0"/>
        </w:rPr>
        <w:t xml:space="preserve"> </w:t>
      </w:r>
      <w:r w:rsidDel="00000000" w:rsidR="00000000" w:rsidRPr="00000000">
        <w:rPr>
          <w:rFonts w:ascii="Tahoma" w:cs="Tahoma" w:eastAsia="Tahoma" w:hAnsi="Tahoma"/>
          <w:b w:val="1"/>
          <w:rtl w:val="0"/>
        </w:rPr>
        <w:t xml:space="preserve">R$ 1.088.743,38</w:t>
      </w:r>
      <w:r w:rsidDel="00000000" w:rsidR="00000000" w:rsidRPr="00000000">
        <w:rPr>
          <w:rFonts w:ascii="Tahoma" w:cs="Tahoma" w:eastAsia="Tahoma" w:hAnsi="Tahoma"/>
          <w:rtl w:val="0"/>
        </w:rPr>
        <w:t xml:space="preserve"> (um milhão, oitenta e oito mil, setecentos e quarenta e três reais e trinta e oito centavos),</w:t>
      </w:r>
      <w:r w:rsidDel="00000000" w:rsidR="00000000" w:rsidRPr="00000000">
        <w:rPr>
          <w:rFonts w:ascii="Tahoma" w:cs="Tahoma" w:eastAsia="Tahoma" w:hAnsi="Tahoma"/>
          <w:i w:val="0"/>
          <w:smallCaps w:val="0"/>
          <w:strike w:val="0"/>
          <w:sz w:val="22"/>
          <w:szCs w:val="22"/>
          <w:u w:val="none"/>
          <w:vertAlign w:val="baseline"/>
          <w:rtl w:val="0"/>
        </w:rPr>
        <w:t xml:space="preserve"> em </w:t>
      </w:r>
      <w:r w:rsidDel="00000000" w:rsidR="00000000" w:rsidRPr="00000000">
        <w:rPr>
          <w:rFonts w:ascii="Tahoma" w:cs="Tahoma" w:eastAsia="Tahoma" w:hAnsi="Tahoma"/>
          <w:rtl w:val="0"/>
        </w:rPr>
        <w:t xml:space="preserve">março </w:t>
      </w:r>
      <w:r w:rsidDel="00000000" w:rsidR="00000000" w:rsidRPr="00000000">
        <w:rPr>
          <w:rFonts w:ascii="Tahoma" w:cs="Tahoma" w:eastAsia="Tahoma" w:hAnsi="Tahoma"/>
          <w:i w:val="0"/>
          <w:smallCaps w:val="0"/>
          <w:strike w:val="0"/>
          <w:sz w:val="22"/>
          <w:szCs w:val="22"/>
          <w:u w:val="none"/>
          <w:vertAlign w:val="baseline"/>
          <w:rtl w:val="0"/>
        </w:rPr>
        <w:t xml:space="preserve">de 20</w:t>
      </w:r>
      <w:r w:rsidDel="00000000" w:rsidR="00000000" w:rsidRPr="00000000">
        <w:rPr>
          <w:rFonts w:ascii="Tahoma" w:cs="Tahoma" w:eastAsia="Tahoma" w:hAnsi="Tahoma"/>
          <w:rtl w:val="0"/>
        </w:rPr>
        <w:t xml:space="preserve">23</w:t>
      </w:r>
      <w:r w:rsidDel="00000000" w:rsidR="00000000" w:rsidRPr="00000000">
        <w:rPr>
          <w:rFonts w:ascii="Tahoma" w:cs="Tahoma" w:eastAsia="Tahoma" w:hAnsi="Tahoma"/>
          <w:i w:val="0"/>
          <w:smallCaps w:val="0"/>
          <w:strike w:val="0"/>
          <w:sz w:val="22"/>
          <w:szCs w:val="22"/>
          <w:u w:val="none"/>
          <w:vertAlign w:val="baseline"/>
          <w:rtl w:val="0"/>
        </w:rPr>
        <w:t xml:space="preserve">, com base nos índices da Tabela Prática do Tribunal de Justiça do Estado de São Paulo.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DEPOSITÁRIO: </w:t>
      </w:r>
      <w:r w:rsidDel="00000000" w:rsidR="00000000" w:rsidRPr="00000000">
        <w:rPr>
          <w:rFonts w:ascii="Tahoma" w:cs="Tahoma" w:eastAsia="Tahoma" w:hAnsi="Tahoma"/>
          <w:rtl w:val="0"/>
        </w:rPr>
        <w:t xml:space="preserve">CARLOS MASSATO INOUE (CPF Nº 570.319.168</w:t>
      </w:r>
      <w:r w:rsidDel="00000000" w:rsidR="00000000" w:rsidRPr="00000000">
        <w:rPr>
          <w:rFonts w:ascii="Tahoma" w:cs="Tahoma" w:eastAsia="Tahoma" w:hAnsi="Tahoma"/>
          <w:i w:val="0"/>
          <w:smallCaps w:val="0"/>
          <w:strike w:val="0"/>
          <w:color w:val="000000"/>
          <w:sz w:val="22"/>
          <w:szCs w:val="22"/>
          <w:u w:val="none"/>
          <w:vertAlign w:val="baseline"/>
          <w:rtl w:val="0"/>
        </w:rPr>
        <w:t xml:space="preserve">-</w:t>
      </w:r>
      <w:r w:rsidDel="00000000" w:rsidR="00000000" w:rsidRPr="00000000">
        <w:rPr>
          <w:rFonts w:ascii="Tahoma" w:cs="Tahoma" w:eastAsia="Tahoma" w:hAnsi="Tahoma"/>
          <w:rtl w:val="0"/>
        </w:rPr>
        <w:t xml:space="preserve">87) E SATIKO HAMADA INOUE (CPF Nº 670.917.178</w:t>
      </w:r>
      <w:r w:rsidDel="00000000" w:rsidR="00000000" w:rsidRPr="00000000">
        <w:rPr>
          <w:rFonts w:ascii="Tahoma" w:cs="Tahoma" w:eastAsia="Tahoma" w:hAnsi="Tahoma"/>
          <w:i w:val="0"/>
          <w:smallCaps w:val="0"/>
          <w:strike w:val="0"/>
          <w:color w:val="000000"/>
          <w:sz w:val="22"/>
          <w:szCs w:val="22"/>
          <w:u w:val="none"/>
          <w:vertAlign w:val="baseline"/>
          <w:rtl w:val="0"/>
        </w:rPr>
        <w:t xml:space="preserve">-72).</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ÔNUS: </w:t>
      </w:r>
      <w:r w:rsidDel="00000000" w:rsidR="00000000" w:rsidRPr="00000000">
        <w:rPr>
          <w:rFonts w:ascii="Tahoma" w:cs="Tahoma" w:eastAsia="Tahoma" w:hAnsi="Tahoma"/>
          <w:i w:val="0"/>
          <w:smallCaps w:val="0"/>
          <w:strike w:val="0"/>
          <w:color w:val="000000"/>
          <w:sz w:val="22"/>
          <w:szCs w:val="22"/>
          <w:u w:val="none"/>
          <w:vertAlign w:val="baseline"/>
          <w:rtl w:val="0"/>
        </w:rPr>
        <w:t xml:space="preserve">Consta na referida matrícula,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Av.8</w:t>
      </w:r>
      <w:r w:rsidDel="00000000" w:rsidR="00000000" w:rsidRPr="00000000">
        <w:rPr>
          <w:rFonts w:ascii="Tahoma" w:cs="Tahoma" w:eastAsia="Tahoma" w:hAnsi="Tahoma"/>
          <w:i w:val="0"/>
          <w:smallCaps w:val="0"/>
          <w:strike w:val="0"/>
          <w:color w:val="000000"/>
          <w:sz w:val="22"/>
          <w:szCs w:val="22"/>
          <w:u w:val="none"/>
          <w:vertAlign w:val="baseline"/>
          <w:rtl w:val="0"/>
        </w:rPr>
        <w:t xml:space="preserve"> - CAUÇÃO Exequenda.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Av.9</w:t>
      </w:r>
      <w:r w:rsidDel="00000000" w:rsidR="00000000" w:rsidRPr="00000000">
        <w:rPr>
          <w:rFonts w:ascii="Tahoma" w:cs="Tahoma" w:eastAsia="Tahoma" w:hAnsi="Tahoma"/>
          <w:i w:val="0"/>
          <w:smallCaps w:val="0"/>
          <w:strike w:val="0"/>
          <w:color w:val="000000"/>
          <w:sz w:val="22"/>
          <w:szCs w:val="22"/>
          <w:u w:val="none"/>
          <w:vertAlign w:val="baseline"/>
          <w:rtl w:val="0"/>
        </w:rPr>
        <w:t xml:space="preserve"> - INDISPONIBILIDADE por decisão do Juízo da 23ª Vara Cível desta Comarca preferida no processo nº 10157148620148260100.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Av.10 -</w:t>
      </w:r>
      <w:r w:rsidDel="00000000" w:rsidR="00000000" w:rsidRPr="00000000">
        <w:rPr>
          <w:rFonts w:ascii="Tahoma" w:cs="Tahoma" w:eastAsia="Tahoma" w:hAnsi="Tahoma"/>
          <w:i w:val="0"/>
          <w:smallCaps w:val="0"/>
          <w:strike w:val="0"/>
          <w:color w:val="000000"/>
          <w:sz w:val="22"/>
          <w:szCs w:val="22"/>
          <w:u w:val="none"/>
          <w:vertAlign w:val="baseline"/>
          <w:rtl w:val="0"/>
        </w:rPr>
        <w:t xml:space="preserve"> Penhora Exequenda.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Observaç</w:t>
      </w:r>
      <w:r w:rsidDel="00000000" w:rsidR="00000000" w:rsidRPr="00000000">
        <w:rPr>
          <w:rFonts w:ascii="Tahoma" w:cs="Tahoma" w:eastAsia="Tahoma" w:hAnsi="Tahoma"/>
          <w:b w:val="1"/>
          <w:rtl w:val="0"/>
        </w:rPr>
        <w:t xml:space="preserve">ão</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w:t>
      </w:r>
      <w:r w:rsidDel="00000000" w:rsidR="00000000" w:rsidRPr="00000000">
        <w:rPr>
          <w:rFonts w:ascii="Tahoma" w:cs="Tahoma" w:eastAsia="Tahoma" w:hAnsi="Tahoma"/>
          <w:i w:val="0"/>
          <w:smallCaps w:val="0"/>
          <w:strike w:val="0"/>
          <w:color w:val="000000"/>
          <w:sz w:val="22"/>
          <w:szCs w:val="22"/>
          <w:u w:val="none"/>
          <w:vertAlign w:val="baseline"/>
          <w:rtl w:val="0"/>
        </w:rPr>
        <w:t xml:space="preserve"> Em consulta realizada ao site da Prefeitura Municipal de São Paulo/SP, sobre o imóvel constam débitos tributários (não ins</w:t>
      </w:r>
      <w:r w:rsidDel="00000000" w:rsidR="00000000" w:rsidRPr="00000000">
        <w:rPr>
          <w:rFonts w:ascii="Tahoma" w:cs="Tahoma" w:eastAsia="Tahoma" w:hAnsi="Tahoma"/>
          <w:rtl w:val="0"/>
        </w:rPr>
        <w:t xml:space="preserve">critos em dívida ativa)</w:t>
      </w:r>
      <w:r w:rsidDel="00000000" w:rsidR="00000000" w:rsidRPr="00000000">
        <w:rPr>
          <w:rFonts w:ascii="Tahoma" w:cs="Tahoma" w:eastAsia="Tahoma" w:hAnsi="Tahoma"/>
          <w:i w:val="0"/>
          <w:smallCaps w:val="0"/>
          <w:strike w:val="0"/>
          <w:color w:val="000000"/>
          <w:sz w:val="22"/>
          <w:szCs w:val="22"/>
          <w:u w:val="none"/>
          <w:vertAlign w:val="baseline"/>
          <w:rtl w:val="0"/>
        </w:rPr>
        <w:t xml:space="preserve"> em aberto no</w:t>
      </w:r>
      <w:r w:rsidDel="00000000" w:rsidR="00000000" w:rsidRPr="00000000">
        <w:rPr>
          <w:rFonts w:ascii="Tahoma" w:cs="Tahoma" w:eastAsia="Tahoma" w:hAnsi="Tahoma"/>
          <w:rtl w:val="0"/>
        </w:rPr>
        <w:t xml:space="preserve"> importe de R$2.706,96</w:t>
      </w:r>
      <w:r w:rsidDel="00000000" w:rsidR="00000000" w:rsidRPr="00000000">
        <w:rPr>
          <w:rFonts w:ascii="Tahoma" w:cs="Tahoma" w:eastAsia="Tahoma" w:hAnsi="Tahoma"/>
          <w:i w:val="0"/>
          <w:smallCaps w:val="0"/>
          <w:strike w:val="0"/>
          <w:color w:val="000000"/>
          <w:sz w:val="22"/>
          <w:szCs w:val="22"/>
          <w:u w:val="none"/>
          <w:vertAlign w:val="baseline"/>
          <w:rtl w:val="0"/>
        </w:rPr>
        <w:t xml:space="preserve"> (</w:t>
      </w:r>
      <w:r w:rsidDel="00000000" w:rsidR="00000000" w:rsidRPr="00000000">
        <w:rPr>
          <w:rFonts w:ascii="Tahoma" w:cs="Tahoma" w:eastAsia="Tahoma" w:hAnsi="Tahoma"/>
          <w:rtl w:val="0"/>
        </w:rPr>
        <w:t xml:space="preserve">dois mil, setecentos e seis reais e noventa e seis centavos centavos)</w:t>
      </w:r>
      <w:r w:rsidDel="00000000" w:rsidR="00000000" w:rsidRPr="00000000">
        <w:rPr>
          <w:rFonts w:ascii="Tahoma" w:cs="Tahoma" w:eastAsia="Tahoma" w:hAnsi="Tahoma"/>
          <w:i w:val="0"/>
          <w:smallCaps w:val="0"/>
          <w:strike w:val="0"/>
          <w:color w:val="000000"/>
          <w:sz w:val="22"/>
          <w:szCs w:val="22"/>
          <w:u w:val="none"/>
          <w:vertAlign w:val="baseline"/>
          <w:rtl w:val="0"/>
        </w:rPr>
        <w:t xml:space="preserve">, atualizados em </w:t>
      </w:r>
      <w:r w:rsidDel="00000000" w:rsidR="00000000" w:rsidRPr="00000000">
        <w:rPr>
          <w:rFonts w:ascii="Tahoma" w:cs="Tahoma" w:eastAsia="Tahoma" w:hAnsi="Tahoma"/>
          <w:rtl w:val="0"/>
        </w:rPr>
        <w:t xml:space="preserve">março de 2023.</w:t>
      </w: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CONDIÇÃO DO(S) BEM(NS): </w:t>
      </w:r>
      <w:r w:rsidDel="00000000" w:rsidR="00000000" w:rsidRPr="00000000">
        <w:rPr>
          <w:rFonts w:ascii="Tahoma" w:cs="Tahoma" w:eastAsia="Tahoma" w:hAnsi="Tahoma"/>
          <w:i w:val="0"/>
          <w:smallCaps w:val="0"/>
          <w:strike w:val="0"/>
          <w:color w:val="000000"/>
          <w:sz w:val="22"/>
          <w:szCs w:val="22"/>
          <w:u w:val="none"/>
          <w:vertAlign w:val="baseline"/>
          <w:rtl w:val="0"/>
        </w:rPr>
        <w:t xml:space="preserve">O imóvel será vendido conforme descrição, sendo que as áreas mencionadas são meramente enunciativas e repetitivas das dimensões constantes do termo de penhora e/ou registro imobiliário, não sendo cabível qualquer pleito com relação ao cancelamento da arrematação, abatimento de preço ou complemento de área, por eventual divergência entre o que constar da descrição do imóvel e a realidade existente. Constitui ônus do interessado verificar suas condições, quando for possível a visitação, antes das datas designadas para as alienações judiciais eletrônicas. Com isso declara que tem pleno conhecimento de suas instalações, nada tendo a reclamar quanto a eventual vício, ainda que oculto, ou defeito decorrente de uso, a qualquer título e a qualquer tempo, assumindo a responsabilidade pela eventual regularização que se fizer necessária.</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BAIXA PENHORAS E DEMAIS ÔNUS: </w:t>
      </w:r>
      <w:r w:rsidDel="00000000" w:rsidR="00000000" w:rsidRPr="00000000">
        <w:rPr>
          <w:rFonts w:ascii="Tahoma" w:cs="Tahoma" w:eastAsia="Tahoma" w:hAnsi="Tahoma"/>
          <w:rtl w:val="0"/>
        </w:rPr>
        <w:t xml:space="preserve">Com a venda no leilão, </w:t>
      </w:r>
      <w:r w:rsidDel="00000000" w:rsidR="00000000" w:rsidRPr="00000000">
        <w:rPr>
          <w:rFonts w:ascii="Tahoma" w:cs="Tahoma" w:eastAsia="Tahoma" w:hAnsi="Tahoma"/>
          <w:rtl w:val="0"/>
        </w:rPr>
        <w:t xml:space="preserve">o cancelamento dos registros de eventuais penhoras, arrestos e indisponibilidades que gravam a matrícula, oriundos de outros processos, deverá ser requerido pelo arrematante diretamente aos respectivos juízos dos quais foram originadas as constrições nos termos do § 2º do art. 269 das Normas de Serviços da Corregedoria Geral do E. Tribunal de Justiça do Estado de São Paulo. </w:t>
      </w:r>
      <w:r w:rsidDel="00000000" w:rsidR="00000000" w:rsidRPr="00000000">
        <w:rPr>
          <w:rFonts w:ascii="Tahoma" w:cs="Tahoma" w:eastAsia="Tahoma" w:hAnsi="Tahoma"/>
          <w:rtl w:val="0"/>
        </w:rPr>
        <w:t xml:space="preserve">Será comprovada a notificação dos órgãos e Juízos que expediram tais ônus, que constará nos autos, visto que a notificação será procedida pelo Leiloeiro, no prazo estabelecido pelo artigo Art. 889 e seus incisos do Código de Processo Civil.</w:t>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TRIBUTOS: </w:t>
      </w:r>
      <w:r w:rsidDel="00000000" w:rsidR="00000000" w:rsidRPr="00000000">
        <w:rPr>
          <w:rFonts w:ascii="Tahoma" w:cs="Tahoma" w:eastAsia="Tahoma" w:hAnsi="Tahoma"/>
          <w:i w:val="0"/>
          <w:smallCaps w:val="0"/>
          <w:strike w:val="0"/>
          <w:color w:val="000000"/>
          <w:sz w:val="22"/>
          <w:szCs w:val="22"/>
          <w:u w:val="none"/>
          <w:vertAlign w:val="baseline"/>
          <w:rtl w:val="0"/>
        </w:rPr>
        <w:t xml:space="preserve">Eventuais ônus sobre o imóvel correrão por conta do arrematante, </w:t>
      </w: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exceto </w:t>
      </w:r>
      <w:r w:rsidDel="00000000" w:rsidR="00000000" w:rsidRPr="00000000">
        <w:rPr>
          <w:rFonts w:ascii="Tahoma" w:cs="Tahoma" w:eastAsia="Tahoma" w:hAnsi="Tahoma"/>
          <w:i w:val="0"/>
          <w:smallCaps w:val="0"/>
          <w:strike w:val="0"/>
          <w:color w:val="000000"/>
          <w:sz w:val="22"/>
          <w:szCs w:val="22"/>
          <w:u w:val="none"/>
          <w:vertAlign w:val="baseline"/>
          <w:rtl w:val="0"/>
        </w:rPr>
        <w:t xml:space="preserve">débitos de IPTU, que serão sub-rogados no valor da arrematação nos termos do art. 130, “caput” e parágrafo único, do Código Tributário Nacional.</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DÉBITOS DE CONDOMÍNIO SOBRE O BEM IMÓVEL: </w:t>
      </w:r>
      <w:r w:rsidDel="00000000" w:rsidR="00000000" w:rsidRPr="00000000">
        <w:rPr>
          <w:rFonts w:ascii="Tahoma" w:cs="Tahoma" w:eastAsia="Tahoma" w:hAnsi="Tahoma"/>
          <w:i w:val="0"/>
          <w:smallCaps w:val="0"/>
          <w:strike w:val="0"/>
          <w:color w:val="000000"/>
          <w:sz w:val="22"/>
          <w:szCs w:val="22"/>
          <w:u w:val="none"/>
          <w:vertAlign w:val="baseline"/>
          <w:rtl w:val="0"/>
        </w:rPr>
        <w:t xml:space="preserve">Em caso de execução de bem imóvel promovida pelo condomínio, os débitos condominiais serão abatidos até o limite do valor da arrematação. (art. 1345, do Código Civil c/c art. 908, § 1º, do Código de Processo Civil).</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HIPOTECA: </w:t>
      </w:r>
      <w:r w:rsidDel="00000000" w:rsidR="00000000" w:rsidRPr="00000000">
        <w:rPr>
          <w:rFonts w:ascii="Tahoma" w:cs="Tahoma" w:eastAsia="Tahoma" w:hAnsi="Tahoma"/>
          <w:rtl w:val="0"/>
        </w:rPr>
        <w:t xml:space="preserve">Eventual gravame de hipoteca extingue-se com a arrematação, assim, nada será devido pelo arrematante ao credor hipotecário, </w:t>
      </w:r>
      <w:r w:rsidDel="00000000" w:rsidR="00000000" w:rsidRPr="00000000">
        <w:rPr>
          <w:rFonts w:ascii="Tahoma" w:cs="Tahoma" w:eastAsia="Tahoma" w:hAnsi="Tahoma"/>
          <w:rtl w:val="0"/>
        </w:rPr>
        <w:t xml:space="preserve">devendo ser expedido mandado nos autos do processo em que se realizou a arrematação (art. 1499, VI do Código Civil e § 1º das Normas de Serviços da Corregedoria Geral do E. Tribunal de Justiça do Estado de São Paulo).</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MEAÇÃO: </w:t>
      </w:r>
      <w:r w:rsidDel="00000000" w:rsidR="00000000" w:rsidRPr="00000000">
        <w:rPr>
          <w:rFonts w:ascii="Tahoma" w:cs="Tahoma" w:eastAsia="Tahoma" w:hAnsi="Tahoma"/>
          <w:i w:val="0"/>
          <w:smallCaps w:val="0"/>
          <w:strike w:val="0"/>
          <w:color w:val="000000"/>
          <w:sz w:val="22"/>
          <w:szCs w:val="22"/>
          <w:u w:val="none"/>
          <w:vertAlign w:val="baseline"/>
          <w:rtl w:val="0"/>
        </w:rPr>
        <w:t xml:space="preserve">Nos termos do Art. </w:t>
      </w:r>
      <w:hyperlink r:id="rId8">
        <w:r w:rsidDel="00000000" w:rsidR="00000000" w:rsidRPr="00000000">
          <w:rPr>
            <w:rFonts w:ascii="Tahoma" w:cs="Tahoma" w:eastAsia="Tahoma" w:hAnsi="Tahoma"/>
            <w:i w:val="0"/>
            <w:smallCaps w:val="0"/>
            <w:strike w:val="0"/>
            <w:color w:val="000000"/>
            <w:sz w:val="22"/>
            <w:szCs w:val="22"/>
            <w:u w:val="none"/>
            <w:vertAlign w:val="baseline"/>
            <w:rtl w:val="0"/>
          </w:rPr>
          <w:t xml:space="preserve">843</w:t>
        </w:r>
      </w:hyperlink>
      <w:r w:rsidDel="00000000" w:rsidR="00000000" w:rsidRPr="00000000">
        <w:rPr>
          <w:rFonts w:ascii="Tahoma" w:cs="Tahoma" w:eastAsia="Tahoma" w:hAnsi="Tahoma"/>
          <w:i w:val="0"/>
          <w:smallCaps w:val="0"/>
          <w:strike w:val="0"/>
          <w:color w:val="000000"/>
          <w:sz w:val="22"/>
          <w:szCs w:val="22"/>
          <w:u w:val="none"/>
          <w:vertAlign w:val="baseline"/>
          <w:rtl w:val="0"/>
        </w:rPr>
        <w:t xml:space="preserve">, do Código de Processo Civil, tratando-se de penhora de bem indivisível, o equivalente à quota-parte do coproprietário ou do cônjuge alheio à execução recairá sobre o produto da alienação do bem. É reservada ao coproprietário ou ao cônjuge não executado a preferência na arrematação do bem em igualdade de condições.</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LEILÃO - DATAS: </w:t>
      </w:r>
      <w:r w:rsidDel="00000000" w:rsidR="00000000" w:rsidRPr="00000000">
        <w:rPr>
          <w:rFonts w:ascii="Tahoma" w:cs="Tahoma" w:eastAsia="Tahoma" w:hAnsi="Tahoma"/>
          <w:rtl w:val="0"/>
        </w:rPr>
        <w:t xml:space="preserve"> O 1º leilão terá início em </w:t>
      </w:r>
      <w:r w:rsidDel="00000000" w:rsidR="00000000" w:rsidRPr="00000000">
        <w:rPr>
          <w:rFonts w:ascii="Tahoma" w:cs="Tahoma" w:eastAsia="Tahoma" w:hAnsi="Tahoma"/>
          <w:b w:val="1"/>
          <w:rtl w:val="0"/>
        </w:rPr>
        <w:t xml:space="preserve">26 DE MAIO DE 2023 ÀS 15H00MIN</w:t>
      </w:r>
      <w:r w:rsidDel="00000000" w:rsidR="00000000" w:rsidRPr="00000000">
        <w:rPr>
          <w:rFonts w:ascii="Tahoma" w:cs="Tahoma" w:eastAsia="Tahoma" w:hAnsi="Tahoma"/>
          <w:rtl w:val="0"/>
        </w:rPr>
        <w:t xml:space="preserve"> com encerramento </w:t>
      </w:r>
      <w:r w:rsidDel="00000000" w:rsidR="00000000" w:rsidRPr="00000000">
        <w:rPr>
          <w:rFonts w:ascii="Tahoma" w:cs="Tahoma" w:eastAsia="Tahoma" w:hAnsi="Tahoma"/>
          <w:b w:val="1"/>
          <w:rtl w:val="0"/>
        </w:rPr>
        <w:t xml:space="preserve">30 DE MAIO DE 2023 ÀS 15H00MIN </w:t>
      </w:r>
      <w:r w:rsidDel="00000000" w:rsidR="00000000" w:rsidRPr="00000000">
        <w:rPr>
          <w:rFonts w:ascii="Tahoma" w:cs="Tahoma" w:eastAsia="Tahoma" w:hAnsi="Tahoma"/>
          <w:rtl w:val="0"/>
        </w:rPr>
        <w:t xml:space="preserve">com lances a partir do valor de avaliação atualizado. Caso não haja lance no 1º Leilão, seguirá sem interrupção o 2º leilão que se encerrará em </w:t>
      </w:r>
      <w:r w:rsidDel="00000000" w:rsidR="00000000" w:rsidRPr="00000000">
        <w:rPr>
          <w:rFonts w:ascii="Tahoma" w:cs="Tahoma" w:eastAsia="Tahoma" w:hAnsi="Tahoma"/>
          <w:b w:val="1"/>
          <w:rtl w:val="0"/>
        </w:rPr>
        <w:t xml:space="preserve">20 DE JUNHO DE 2023 ÀS 15H00MIN.</w:t>
      </w:r>
      <w:r w:rsidDel="00000000" w:rsidR="00000000" w:rsidRPr="00000000">
        <w:rPr>
          <w:rFonts w:ascii="Tahoma" w:cs="Tahoma" w:eastAsia="Tahoma" w:hAnsi="Tahoma"/>
          <w:rtl w:val="0"/>
        </w:rPr>
        <w:t xml:space="preserve"> O valor mínimo para venda em 2ª Praça corresponderá a </w:t>
      </w:r>
      <w:r w:rsidDel="00000000" w:rsidR="00000000" w:rsidRPr="00000000">
        <w:rPr>
          <w:rFonts w:ascii="Tahoma" w:cs="Tahoma" w:eastAsia="Tahoma" w:hAnsi="Tahoma"/>
          <w:b w:val="1"/>
          <w:rtl w:val="0"/>
        </w:rPr>
        <w:t xml:space="preserve">50% (cinquenta por cento)</w:t>
      </w:r>
      <w:r w:rsidDel="00000000" w:rsidR="00000000" w:rsidRPr="00000000">
        <w:rPr>
          <w:rFonts w:ascii="Tahoma" w:cs="Tahoma" w:eastAsia="Tahoma" w:hAnsi="Tahoma"/>
          <w:rtl w:val="0"/>
        </w:rPr>
        <w:t xml:space="preserve"> do valor da avaliação judicial atualizada.</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rtl w:val="0"/>
        </w:rPr>
        <w:t xml:space="preserve">Os valores de proposta ou lance vencedor, ficarão sujeitos a reajuste no auto de arrematação de acordo com a atualização da tabela do Tribunal de Justiça de São Paulo no encerramento do leilão, para que o preço não seja considerado vil. </w:t>
      </w:r>
      <w:r w:rsidDel="00000000" w:rsidR="00000000" w:rsidRPr="00000000">
        <w:rPr>
          <w:rFonts w:ascii="Tahoma" w:cs="Tahoma" w:eastAsia="Tahoma" w:hAnsi="Tahoma"/>
          <w:rtl w:val="0"/>
        </w:rPr>
        <w:t xml:space="preserve">(art891</w:t>
      </w:r>
      <w:r w:rsidDel="00000000" w:rsidR="00000000" w:rsidRPr="00000000">
        <w:rPr>
          <w:rFonts w:ascii="Tahoma" w:cs="Tahoma" w:eastAsia="Tahoma" w:hAnsi="Tahoma"/>
          <w:rtl w:val="0"/>
        </w:rPr>
        <w:t xml:space="preserve"> CPC).</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rtl w:val="0"/>
        </w:rPr>
        <w:t xml:space="preserve">No caso de não ser realizado o Leilão nas datas acima designadas por motivo superveniente, fica desde já designado o primeiro dia útil subsequente para a sua realização.</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LEILOEIRO: </w:t>
      </w:r>
      <w:r w:rsidDel="00000000" w:rsidR="00000000" w:rsidRPr="00000000">
        <w:rPr>
          <w:rFonts w:ascii="Tahoma" w:cs="Tahoma" w:eastAsia="Tahoma" w:hAnsi="Tahoma"/>
          <w:i w:val="0"/>
          <w:smallCaps w:val="0"/>
          <w:strike w:val="0"/>
          <w:color w:val="000000"/>
          <w:sz w:val="22"/>
          <w:szCs w:val="22"/>
          <w:u w:val="none"/>
          <w:vertAlign w:val="baseline"/>
          <w:rtl w:val="0"/>
        </w:rPr>
        <w:t xml:space="preserve">O leilão será conduzido pelo Leiloeiro Oficial Tiago Tessler Blecher - JUCESP nº 1.098.</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PUBLICAÇÃO DO EDITAL </w:t>
      </w:r>
      <w:r w:rsidDel="00000000" w:rsidR="00000000" w:rsidRPr="00000000">
        <w:rPr>
          <w:rFonts w:ascii="Tahoma" w:cs="Tahoma" w:eastAsia="Tahoma" w:hAnsi="Tahoma"/>
          <w:i w:val="0"/>
          <w:smallCaps w:val="0"/>
          <w:strike w:val="0"/>
          <w:color w:val="000000"/>
          <w:sz w:val="22"/>
          <w:szCs w:val="22"/>
          <w:u w:val="none"/>
          <w:vertAlign w:val="baseline"/>
          <w:rtl w:val="0"/>
        </w:rPr>
        <w:t xml:space="preserve">- O edital será publicado na rede mundial de computadores, no sítio </w:t>
      </w:r>
      <w:hyperlink r:id="rId9">
        <w:r w:rsidDel="00000000" w:rsidR="00000000" w:rsidRPr="00000000">
          <w:rPr>
            <w:rFonts w:ascii="Tahoma" w:cs="Tahoma" w:eastAsia="Tahoma" w:hAnsi="Tahoma"/>
            <w:i w:val="0"/>
            <w:smallCaps w:val="0"/>
            <w:strike w:val="0"/>
            <w:color w:val="0000ff"/>
            <w:sz w:val="22"/>
            <w:szCs w:val="22"/>
            <w:u w:val="single"/>
            <w:vertAlign w:val="baseline"/>
            <w:rtl w:val="0"/>
          </w:rPr>
          <w:t xml:space="preserve">www.webleiloes.com.br</w:t>
        </w:r>
      </w:hyperlink>
      <w:r w:rsidDel="00000000" w:rsidR="00000000" w:rsidRPr="00000000">
        <w:rPr>
          <w:rFonts w:ascii="Tahoma" w:cs="Tahoma" w:eastAsia="Tahoma" w:hAnsi="Tahoma"/>
          <w:i w:val="0"/>
          <w:smallCaps w:val="0"/>
          <w:strike w:val="0"/>
          <w:color w:val="000000"/>
          <w:sz w:val="22"/>
          <w:szCs w:val="22"/>
          <w:u w:val="none"/>
          <w:vertAlign w:val="baseline"/>
          <w:rtl w:val="0"/>
        </w:rPr>
        <w:t xml:space="preserve">, em conformidade com o disposto no art. 887, § 2º, do Código de Processo Civil, inclusive as fotos e a descrição detalhada do imóvel a ser apregoado.</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PAGAMENTO DO LOTE: </w:t>
      </w:r>
      <w:r w:rsidDel="00000000" w:rsidR="00000000" w:rsidRPr="00000000">
        <w:rPr>
          <w:rFonts w:ascii="Tahoma" w:cs="Tahoma" w:eastAsia="Tahoma" w:hAnsi="Tahoma"/>
          <w:i w:val="0"/>
          <w:smallCaps w:val="0"/>
          <w:strike w:val="0"/>
          <w:color w:val="000000"/>
          <w:sz w:val="22"/>
          <w:szCs w:val="22"/>
          <w:u w:val="none"/>
          <w:vertAlign w:val="baseline"/>
          <w:rtl w:val="0"/>
        </w:rPr>
        <w:t xml:space="preserve">A arrematação far-se-á mediante pagamento à vista do preço pelo arrematante através de guia de depósito judicial (emitida pelo Leiloeiro), no prazo de 24 horas da realização do leilão (art. 884, inciso IV, do Código de Processo Civil e art. 19 do Prov. n. CSM n. 1625/2009).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PAGAMENTO DA COMISSÃO DO LEILOEIRO: </w:t>
      </w:r>
      <w:r w:rsidDel="00000000" w:rsidR="00000000" w:rsidRPr="00000000">
        <w:rPr>
          <w:rFonts w:ascii="Tahoma" w:cs="Tahoma" w:eastAsia="Tahoma" w:hAnsi="Tahoma"/>
          <w:rtl w:val="0"/>
        </w:rPr>
        <w:t xml:space="preserve">A comissão devida ao Leiloeiro será de 5% (cinco por cento) sobre o valor da arrematação, não se incluindo no valor do lanço (art. 7 da Resolução 236/2016 - CNJ), que será efetuada pelo arrematante no prazo de 24 horas da realização do leilão através de guia depósito fornecida pelo próprio Leiloeiro Oficial.</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CANCELAMENTO/SUSPENSÃO DO LEILÃO OU ACORDO APÓS A PUBLICAÇÃO DO EDITAL: </w:t>
      </w:r>
      <w:r w:rsidDel="00000000" w:rsidR="00000000" w:rsidRPr="00000000">
        <w:rPr>
          <w:rFonts w:ascii="Tahoma" w:cs="Tahoma" w:eastAsia="Tahoma" w:hAnsi="Tahoma"/>
          <w:i w:val="0"/>
          <w:smallCaps w:val="0"/>
          <w:strike w:val="0"/>
          <w:color w:val="000000"/>
          <w:sz w:val="22"/>
          <w:szCs w:val="22"/>
          <w:u w:val="none"/>
          <w:vertAlign w:val="baseline"/>
          <w:rtl w:val="0"/>
        </w:rPr>
        <w:t xml:space="preserve">Caso haja acordo, pagamento integral ou adjudicação após a elaboração do edital, serão devidas comissão ao leiloeiro na ordem de 5% (cinco por cento) sobre o valor do acordo, remissão ou adjudicação, a título de ressarcimento das despesas de publicação de edital, intimação das partes, remoção, guarda e conservação dos bens, desde que devidamente documentadas nos autos, nos termos do art. 7º, § 3º da Resolução do CNJ 236/2016 que serão pagos pela parte adquirente. Se o Executado pagar a dívida antes de adjudicado ou alienado o bem, na forma do artigo 826, do Código de Processo Civil, ou celebrar acordo deverá apresentar até a hora e data designadas para o leilão, guia comprobatória do referido pagamento, acompanhada de petição fazendo menção expressa quanto ao pagamento integral ou acordo, sendo vedado para tal finalidade o uso do protocolo integrado.</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ARREMATAÇÃO PELO CRÉDITO: </w:t>
      </w:r>
      <w:r w:rsidDel="00000000" w:rsidR="00000000" w:rsidRPr="00000000">
        <w:rPr>
          <w:rFonts w:ascii="Tahoma" w:cs="Tahoma" w:eastAsia="Tahoma" w:hAnsi="Tahoma"/>
          <w:i w:val="0"/>
          <w:smallCaps w:val="0"/>
          <w:strike w:val="0"/>
          <w:color w:val="000000"/>
          <w:sz w:val="22"/>
          <w:szCs w:val="22"/>
          <w:u w:val="none"/>
          <w:vertAlign w:val="baseline"/>
          <w:rtl w:val="0"/>
        </w:rPr>
        <w:t xml:space="preserve">Se o exequente arrematar o bem e for o único credor, não estará obrigado a exibir o preço, mas, se o valor dos bens exceder ao seu crédito, depositará, dentro de 3 (três) dias, a diferença, sob pena de tornar-se sem efeito a arrematação, e, nesse caso, realizar-se- á novo leilão à custa do exequente (art. 892, §1º, do Código de Processo Civil). Na hipótese de arrematação pelo crédito, o exequente ficará responsável pela comissão devida ao Leiloeiro.</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vertAlign w:val="baseline"/>
          <w:rtl w:val="0"/>
        </w:rPr>
        <w:t xml:space="preserve">PAGAMENTO E CONDIÇÕES DE VENDA: </w:t>
      </w:r>
      <w:r w:rsidDel="00000000" w:rsidR="00000000" w:rsidRPr="00000000">
        <w:rPr>
          <w:rFonts w:ascii="Tahoma" w:cs="Tahoma" w:eastAsia="Tahoma" w:hAnsi="Tahoma"/>
          <w:i w:val="0"/>
          <w:smallCaps w:val="0"/>
          <w:strike w:val="0"/>
          <w:color w:val="000000"/>
          <w:sz w:val="22"/>
          <w:szCs w:val="22"/>
          <w:u w:val="none"/>
          <w:vertAlign w:val="baseline"/>
          <w:rtl w:val="0"/>
        </w:rPr>
        <w:t xml:space="preserve">O interessado</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 em adquirir o bem em prestações poderá apresentar, por escrito; até o início do primeiro leilão, proposta de aquisição do bem por valor não inferior ao da avaliação; até o início do segundo leilão, proposta de aquisição do bem por valor que não seja inferior a 50% (cinquenta por cento). A proposta conterá, em qualquer hipótese, oferta de pagamento de pelo menos 25% (vinte e cinco por cento) do valor do lance à vista e o restante parcelado em até 30 (trinta) meses, a ser corrigido monetariamente com base nos índices da Tabela Prática do Tribunal de Justiça do Estado de São Paulo. Sendo que a proposta de pagamento do lance à vista sempre prevalecerá sobre as propostas de pagamento parcelado. As propostas para aquisição em prestações indicarão o prazo, a modalidade, o indexador de correção monetária e as condições de pagamento do saldo, consoante o art. 895 e seguintes, do Código de Processo Civil</w:t>
      </w: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PROPOSTAS: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Caso o bem não seja vendido durante o 1º e 2º leilão, fica desde já autorizada a captação de propostas, pelo prazo máximo de 15 dias a contar do encerramento do 2º leilão.</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VISITAÇÃO: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Desde que autorizada a visitação, a mesma deverá ser agendada com o Leiloeiro através do e-mail </w:t>
      </w:r>
      <w:hyperlink r:id="rId10">
        <w:r w:rsidDel="00000000" w:rsidR="00000000" w:rsidRPr="00000000">
          <w:rPr>
            <w:rFonts w:ascii="Tahoma" w:cs="Tahoma" w:eastAsia="Tahoma" w:hAnsi="Tahoma"/>
            <w:b w:val="0"/>
            <w:i w:val="0"/>
            <w:smallCaps w:val="0"/>
            <w:strike w:val="0"/>
            <w:color w:val="0000ff"/>
            <w:sz w:val="22"/>
            <w:szCs w:val="22"/>
            <w:u w:val="single"/>
            <w:shd w:fill="auto" w:val="clear"/>
            <w:vertAlign w:val="baseline"/>
            <w:rtl w:val="0"/>
          </w:rPr>
          <w:t xml:space="preserve">contato@webleiloes.com.br</w:t>
        </w:r>
      </w:hyperlink>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 ficando autorizado o acompanhamento com oficial de justiça e força policial, se necessário. Em caso de imóvel desocupado, também fica autorizado o Leiloeiro a se fazer acompanhar por chaveiro. Igualmente, ficam autorizados os funcionários do Leiloeiro, devidamente identificados, a obter diretamente, material fotográfico para inseri-lo no portal do Leiloeiro, a fim de que os licitantes tenham pleno conhecimento das características do bem.</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DESOCUPAÇÃO: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A desocupação do imóvel será realizada mediante expedição de Mandado de Imissão na Posse que será expedido pelo M.M. Juízo Comitente, após o recolhimento das custas pelo arrematante, consoante o art. 903, § 3º, do Código de Processo Civil.</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SISTEMA -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Os interessados em ofertar lances deverão se cadastrar previamente no site do Leiloeiro, aceitar os termos e condições informados e encaminhar cópias dos seguintes documentos: I – Pessoa Física: RG, CPF e comprovante de endereço (certidão de casamento se casado for); II – Pessoa Jurídica: Contrato Social, comprovante de endereço, documentos pessoais do sócio (RG e CPF) ou procuração com firma reconhecida da assinatura, ficando o cadastro sujeito à conferência de identidade em banco de dados oficiais.</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LANCES: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Caso sejam ofertados lances nos 3 (três) minutos finais dos leilões, o sistema prorrogará a disputa por mais 3 (três) minutos para que todos os participantes tenham a oportunidade de enviar novos lances. Durante a alienação, os lanços deverão ser oferecidos diretamente no sistema e imediatamente divulgados on-line, de modo a viabilizar a preservação do tempo real das ofertas. Não sendo efetuado o depósito da oferta, o Leiloeiro comunicará imediatamente o fato ao Juízo, informando também os lanços imediatamente anteriores para que sejam submetidos à apreciação do Juízo, sem prejuízo da aplicação de sanções legais (art. 897, do Código de Processo).</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spacing w:line="360" w:lineRule="auto"/>
        <w:ind w:left="-567" w:right="-568" w:firstLine="0"/>
        <w:jc w:val="both"/>
        <w:rPr>
          <w:rFonts w:ascii="Tahoma" w:cs="Tahoma" w:eastAsia="Tahoma" w:hAnsi="Tahoma"/>
        </w:rPr>
      </w:pPr>
      <w:r w:rsidDel="00000000" w:rsidR="00000000" w:rsidRPr="00000000">
        <w:rPr>
          <w:rFonts w:ascii="Tahoma" w:cs="Tahoma" w:eastAsia="Tahoma" w:hAnsi="Tahoma"/>
          <w:b w:val="1"/>
          <w:rtl w:val="0"/>
        </w:rPr>
        <w:t xml:space="preserve">DÚVIDAS e ESCLARECIMENTOS</w:t>
      </w:r>
      <w:r w:rsidDel="00000000" w:rsidR="00000000" w:rsidRPr="00000000">
        <w:rPr>
          <w:rFonts w:ascii="Tahoma" w:cs="Tahoma" w:eastAsia="Tahoma" w:hAnsi="Tahoma"/>
          <w:rtl w:val="0"/>
        </w:rPr>
        <w:t xml:space="preserve">: Serão obtidas através do site </w:t>
      </w:r>
      <w:hyperlink r:id="rId11">
        <w:r w:rsidDel="00000000" w:rsidR="00000000" w:rsidRPr="00000000">
          <w:rPr>
            <w:rFonts w:ascii="Tahoma" w:cs="Tahoma" w:eastAsia="Tahoma" w:hAnsi="Tahoma"/>
            <w:color w:val="0000ff"/>
            <w:u w:val="single"/>
            <w:rtl w:val="0"/>
          </w:rPr>
          <w:t xml:space="preserve">www.webleiloes.com.br</w:t>
        </w:r>
      </w:hyperlink>
      <w:r w:rsidDel="00000000" w:rsidR="00000000" w:rsidRPr="00000000">
        <w:rPr>
          <w:rFonts w:ascii="Tahoma" w:cs="Tahoma" w:eastAsia="Tahoma" w:hAnsi="Tahoma"/>
          <w:color w:val="0000ff"/>
          <w:rtl w:val="0"/>
        </w:rPr>
        <w:t xml:space="preserve"> </w:t>
      </w:r>
      <w:r w:rsidDel="00000000" w:rsidR="00000000" w:rsidRPr="00000000">
        <w:rPr>
          <w:rFonts w:ascii="Tahoma" w:cs="Tahoma" w:eastAsia="Tahoma" w:hAnsi="Tahoma"/>
          <w:rtl w:val="0"/>
        </w:rPr>
        <w:t xml:space="preserve">e do telefone/WhatsApp (11) 3392-3446.</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CIENTIFICAÇÃO e PUBLICAÇÃO DO EDITAL</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 A publicação deste edital supre eventual insucesso nas notificações e/ou intimações pessoais de todos os interessados, ficando-os INTIMADOS, caso não sejam localizados, sendo que ainda, para fins do que disposto no art. 889, incisos I à VIII e parágrafo único, do CPC, ficam cientes da alienação as partes, seus respectivos cônjuges, interessados descritos acima ou não, não podendo alegar desconhecimento diante da publicidade em rede mundial de computadores. Este edital será publicado no sítio eletrônico </w:t>
      </w:r>
      <w:hyperlink r:id="rId12">
        <w:r w:rsidDel="00000000" w:rsidR="00000000" w:rsidRPr="00000000">
          <w:rPr>
            <w:rFonts w:ascii="Tahoma" w:cs="Tahoma" w:eastAsia="Tahoma" w:hAnsi="Tahoma"/>
            <w:b w:val="0"/>
            <w:i w:val="0"/>
            <w:smallCaps w:val="0"/>
            <w:strike w:val="0"/>
            <w:color w:val="0000ff"/>
            <w:sz w:val="22"/>
            <w:szCs w:val="22"/>
            <w:u w:val="single"/>
            <w:shd w:fill="auto" w:val="clear"/>
            <w:vertAlign w:val="baseline"/>
            <w:rtl w:val="0"/>
          </w:rPr>
          <w:t xml:space="preserve">www.webleiloes.com.br</w:t>
        </w:r>
      </w:hyperlink>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 conforme previsto no art. 887, §2°, do Código de Processo Civil – CPC.</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Será o presente Edital, por extrato, afixado e publicado na forma da Lei.</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Todo o procedimento é regido pelas normas e penas previstas no Código de Processo Civil, Código Penal, Resolução CNJ n° 236/2016, Decreto n° 16.548/1932, Normas da Corregedoria Geral da Justiça do Estado de São Paulo e demais normas aplicáveis, em especial no que diz respeito à inadimplência, desistência, tentativa de impedir ou atrapalhar o certame e reparação de danos.</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both"/>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São Paulo, </w:t>
      </w:r>
      <w:r w:rsidDel="00000000" w:rsidR="00000000" w:rsidRPr="00000000">
        <w:rPr>
          <w:rFonts w:ascii="Tahoma" w:cs="Tahoma" w:eastAsia="Tahoma" w:hAnsi="Tahoma"/>
          <w:rtl w:val="0"/>
        </w:rPr>
        <w:t xml:space="preserve">27 de março de 2023.</w:t>
      </w: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1079500</wp:posOffset>
                </wp:positionH>
                <wp:positionV relativeFrom="paragraph">
                  <wp:posOffset>304800</wp:posOffset>
                </wp:positionV>
                <wp:extent cx="3149095" cy="52200"/>
                <wp:effectExtent b="0" l="0" r="0" t="0"/>
                <wp:wrapTopAndBottom distB="0" distT="0"/>
                <wp:docPr id="44" name=""/>
                <a:graphic>
                  <a:graphicData uri="http://schemas.microsoft.com/office/word/2010/wordprocessingShape">
                    <wps:wsp>
                      <wps:cNvSpPr/>
                      <wps:cNvPr id="4" name="Shape 4"/>
                      <wps:spPr>
                        <a:xfrm>
                          <a:off x="3791203" y="3779365"/>
                          <a:ext cx="3109595" cy="1270"/>
                        </a:xfrm>
                        <a:custGeom>
                          <a:rect b="b" l="l" r="r" t="t"/>
                          <a:pathLst>
                            <a:path extrusionOk="0" h="120000" w="4897">
                              <a:moveTo>
                                <a:pt x="0" y="0"/>
                              </a:moveTo>
                              <a:lnTo>
                                <a:pt x="4897" y="0"/>
                              </a:lnTo>
                            </a:path>
                          </a:pathLst>
                        </a:custGeom>
                        <a:noFill/>
                        <a:ln cap="flat" cmpd="sng" w="987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1079500</wp:posOffset>
                </wp:positionH>
                <wp:positionV relativeFrom="paragraph">
                  <wp:posOffset>304800</wp:posOffset>
                </wp:positionV>
                <wp:extent cx="3149095" cy="52200"/>
                <wp:effectExtent b="0" l="0" r="0" t="0"/>
                <wp:wrapTopAndBottom distB="0" distT="0"/>
                <wp:docPr id="44" name="image5.png"/>
                <a:graphic>
                  <a:graphicData uri="http://schemas.openxmlformats.org/drawingml/2006/picture">
                    <pic:pic>
                      <pic:nvPicPr>
                        <pic:cNvPr id="0" name="image5.png"/>
                        <pic:cNvPicPr preferRelativeResize="0"/>
                      </pic:nvPicPr>
                      <pic:blipFill>
                        <a:blip r:embed="rId13"/>
                        <a:srcRect/>
                        <a:stretch>
                          <a:fillRect/>
                        </a:stretch>
                      </pic:blipFill>
                      <pic:spPr>
                        <a:xfrm>
                          <a:off x="0" y="0"/>
                          <a:ext cx="3149095" cy="52200"/>
                        </a:xfrm>
                        <a:prstGeom prst="rect"/>
                        <a:ln/>
                      </pic:spPr>
                    </pic:pic>
                  </a:graphicData>
                </a:graphic>
              </wp:anchor>
            </w:drawing>
          </mc:Fallback>
        </mc:AlternateConten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436"/>
        </w:tabs>
        <w:spacing w:after="0" w:before="0" w:line="360" w:lineRule="auto"/>
        <w:ind w:left="-567" w:right="-568" w:firstLine="0"/>
        <w:jc w:val="center"/>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Dr. Antonio Carlos de Figueiredo Negreiros</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567" w:right="-568" w:firstLine="0"/>
        <w:jc w:val="center"/>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Juiz</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de Direito</w:t>
      </w:r>
    </w:p>
    <w:p w:rsidR="00000000" w:rsidDel="00000000" w:rsidP="00000000" w:rsidRDefault="00000000" w:rsidRPr="00000000" w14:paraId="0000004C">
      <w:pPr>
        <w:ind w:left="-567" w:right="-568" w:firstLine="0"/>
        <w:rPr>
          <w:rFonts w:ascii="Tahoma" w:cs="Tahoma" w:eastAsia="Tahoma" w:hAnsi="Tahoma"/>
        </w:rPr>
      </w:pPr>
      <w:r w:rsidDel="00000000" w:rsidR="00000000" w:rsidRPr="00000000">
        <w:rPr>
          <w:rtl w:val="0"/>
        </w:rPr>
      </w:r>
    </w:p>
    <w:sectPr>
      <w:headerReference r:id="rId14" w:type="default"/>
      <w:footerReference r:id="rId15"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jc w:val="right"/>
      <w:rPr>
        <w:rFonts w:ascii="Ubuntu" w:cs="Ubuntu" w:eastAsia="Ubuntu" w:hAnsi="Ubuntu"/>
        <w:sz w:val="18"/>
        <w:szCs w:val="18"/>
      </w:rPr>
    </w:pPr>
    <w:r w:rsidDel="00000000" w:rsidR="00000000" w:rsidRPr="00000000">
      <w:rPr>
        <w:rFonts w:ascii="Ubuntu" w:cs="Ubuntu" w:eastAsia="Ubuntu" w:hAnsi="Ubuntu"/>
        <w:sz w:val="18"/>
        <w:szCs w:val="18"/>
        <w:rtl w:val="0"/>
      </w:rPr>
      <w:t xml:space="preserve">Rua Natingui, 862 - 3º andar, Conjuntos 311 e 312</w:t>
    </w:r>
    <w:r w:rsidDel="00000000" w:rsidR="00000000" w:rsidRPr="00000000">
      <w:rPr>
        <w:rFonts w:ascii="Ubuntu" w:cs="Ubuntu" w:eastAsia="Ubuntu" w:hAnsi="Ubuntu"/>
        <w:sz w:val="14"/>
        <w:szCs w:val="14"/>
        <w:rtl w:val="0"/>
      </w:rPr>
      <w:br w:type="textWrapping"/>
    </w:r>
    <w:r w:rsidDel="00000000" w:rsidR="00000000" w:rsidRPr="00000000">
      <w:rPr>
        <w:rFonts w:ascii="Ubuntu" w:cs="Ubuntu" w:eastAsia="Ubuntu" w:hAnsi="Ubuntu"/>
        <w:sz w:val="16"/>
        <w:szCs w:val="16"/>
        <w:rtl w:val="0"/>
      </w:rPr>
      <w:t xml:space="preserve">Edifício UNE, Vila Madalena, São Paulo – SP, CEP 05443-001</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-1104899</wp:posOffset>
              </wp:positionH>
              <wp:positionV relativeFrom="paragraph">
                <wp:posOffset>12700</wp:posOffset>
              </wp:positionV>
              <wp:extent cx="3600450" cy="142875"/>
              <wp:effectExtent b="0" l="0" r="0" t="0"/>
              <wp:wrapNone/>
              <wp:docPr id="45" name=""/>
              <a:graphic>
                <a:graphicData uri="http://schemas.microsoft.com/office/word/2010/wordprocessingShape">
                  <wps:wsp>
                    <wps:cNvCnPr/>
                    <wps:spPr>
                      <a:xfrm>
                        <a:off x="3602925" y="3780000"/>
                        <a:ext cx="3486150"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-1104899</wp:posOffset>
              </wp:positionH>
              <wp:positionV relativeFrom="paragraph">
                <wp:posOffset>12700</wp:posOffset>
              </wp:positionV>
              <wp:extent cx="3600450" cy="142875"/>
              <wp:effectExtent b="0" l="0" r="0" t="0"/>
              <wp:wrapNone/>
              <wp:docPr id="45"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3600450" cy="1428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5588000</wp:posOffset>
              </wp:positionH>
              <wp:positionV relativeFrom="paragraph">
                <wp:posOffset>0</wp:posOffset>
              </wp:positionV>
              <wp:extent cx="923925" cy="142875"/>
              <wp:effectExtent b="0" l="0" r="0" t="0"/>
              <wp:wrapNone/>
              <wp:docPr id="42" name=""/>
              <a:graphic>
                <a:graphicData uri="http://schemas.microsoft.com/office/word/2010/wordprocessingShape">
                  <wps:wsp>
                    <wps:cNvCnPr/>
                    <wps:spPr>
                      <a:xfrm>
                        <a:off x="4941188" y="3780000"/>
                        <a:ext cx="80962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5588000</wp:posOffset>
              </wp:positionH>
              <wp:positionV relativeFrom="paragraph">
                <wp:posOffset>0</wp:posOffset>
              </wp:positionV>
              <wp:extent cx="923925" cy="142875"/>
              <wp:effectExtent b="0" l="0" r="0" t="0"/>
              <wp:wrapNone/>
              <wp:docPr id="42"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923925" cy="14287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5429250</wp:posOffset>
          </wp:positionH>
          <wp:positionV relativeFrom="paragraph">
            <wp:posOffset>47625</wp:posOffset>
          </wp:positionV>
          <wp:extent cx="171450" cy="171450"/>
          <wp:effectExtent b="0" l="0" r="0" t="0"/>
          <wp:wrapSquare wrapText="bothSides" distB="0" distT="0" distL="114300" distR="114300"/>
          <wp:docPr id="48" name="image2.png"/>
          <a:graphic>
            <a:graphicData uri="http://schemas.openxmlformats.org/drawingml/2006/picture">
              <pic:pic>
                <pic:nvPicPr>
                  <pic:cNvPr id="0" name="image2.png"/>
                  <pic:cNvPicPr preferRelativeResize="0"/>
                </pic:nvPicPr>
                <pic:blipFill>
                  <a:blip r:embed="rId3"/>
                  <a:srcRect b="0" l="0" r="0" t="0"/>
                  <a:stretch>
                    <a:fillRect/>
                  </a:stretch>
                </pic:blipFill>
                <pic:spPr>
                  <a:xfrm>
                    <a:off x="0" y="0"/>
                    <a:ext cx="171450" cy="1714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70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1651000</wp:posOffset>
              </wp:positionH>
              <wp:positionV relativeFrom="paragraph">
                <wp:posOffset>-25399</wp:posOffset>
              </wp:positionV>
              <wp:extent cx="4981575" cy="142875"/>
              <wp:effectExtent b="0" l="0" r="0" t="0"/>
              <wp:wrapNone/>
              <wp:docPr id="43" name=""/>
              <a:graphic>
                <a:graphicData uri="http://schemas.microsoft.com/office/word/2010/wordprocessingShape">
                  <wps:wsp>
                    <wps:cNvCnPr/>
                    <wps:spPr>
                      <a:xfrm>
                        <a:off x="2912363" y="3780000"/>
                        <a:ext cx="486727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1651000</wp:posOffset>
              </wp:positionH>
              <wp:positionV relativeFrom="paragraph">
                <wp:posOffset>-25399</wp:posOffset>
              </wp:positionV>
              <wp:extent cx="4981575" cy="142875"/>
              <wp:effectExtent b="0" l="0" r="0" t="0"/>
              <wp:wrapNone/>
              <wp:docPr id="43"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981575" cy="1428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-5727699</wp:posOffset>
              </wp:positionH>
              <wp:positionV relativeFrom="paragraph">
                <wp:posOffset>-38099</wp:posOffset>
              </wp:positionV>
              <wp:extent cx="4981575" cy="142875"/>
              <wp:effectExtent b="0" l="0" r="0" t="0"/>
              <wp:wrapNone/>
              <wp:docPr id="46" name=""/>
              <a:graphic>
                <a:graphicData uri="http://schemas.microsoft.com/office/word/2010/wordprocessingShape">
                  <wps:wsp>
                    <wps:cNvCnPr/>
                    <wps:spPr>
                      <a:xfrm>
                        <a:off x="2912363" y="3780000"/>
                        <a:ext cx="4867275" cy="0"/>
                      </a:xfrm>
                      <a:prstGeom prst="straightConnector1">
                        <a:avLst/>
                      </a:prstGeom>
                      <a:noFill/>
                      <a:ln cap="flat" cmpd="sng" w="28575">
                        <a:solidFill>
                          <a:srgbClr val="EB5545"/>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-5727699</wp:posOffset>
              </wp:positionH>
              <wp:positionV relativeFrom="paragraph">
                <wp:posOffset>-38099</wp:posOffset>
              </wp:positionV>
              <wp:extent cx="4981575" cy="142875"/>
              <wp:effectExtent b="0" l="0" r="0" t="0"/>
              <wp:wrapNone/>
              <wp:docPr id="46"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4981575" cy="14287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-699130</wp:posOffset>
          </wp:positionH>
          <wp:positionV relativeFrom="paragraph">
            <wp:posOffset>-192400</wp:posOffset>
          </wp:positionV>
          <wp:extent cx="2294352" cy="438150"/>
          <wp:effectExtent b="0" l="0" r="0" t="0"/>
          <wp:wrapSquare wrapText="bothSides" distB="0" distT="0" distL="114300" distR="114300"/>
          <wp:docPr descr="Logotipo&#10;&#10;Descrição gerada automaticamente" id="47" name="image1.png"/>
          <a:graphic>
            <a:graphicData uri="http://schemas.openxmlformats.org/drawingml/2006/picture">
              <pic:pic>
                <pic:nvPicPr>
                  <pic:cNvPr descr="Logotipo&#10;&#10;Descrição gerada automaticamente" id="0" name="image1.png"/>
                  <pic:cNvPicPr preferRelativeResize="0"/>
                </pic:nvPicPr>
                <pic:blipFill>
                  <a:blip r:embed="rId3"/>
                  <a:srcRect b="0" l="0" r="0" t="0"/>
                  <a:stretch>
                    <a:fillRect/>
                  </a:stretch>
                </pic:blipFill>
                <pic:spPr>
                  <a:xfrm>
                    <a:off x="0" y="0"/>
                    <a:ext cx="2294352" cy="4381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12"/>
      <w:jc w:val="both"/>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BD76B7"/>
    <w:pPr>
      <w:widowControl w:val="0"/>
      <w:autoSpaceDE w:val="0"/>
      <w:autoSpaceDN w:val="0"/>
      <w:spacing w:after="0" w:line="240" w:lineRule="auto"/>
    </w:pPr>
    <w:rPr>
      <w:rFonts w:ascii="Calibri" w:cs="Calibri" w:eastAsia="Calibri" w:hAnsi="Calibri"/>
      <w:lang w:val="pt-PT"/>
    </w:rPr>
  </w:style>
  <w:style w:type="paragraph" w:styleId="Ttulo1">
    <w:name w:val="heading 1"/>
    <w:basedOn w:val="Normal"/>
    <w:link w:val="Ttulo1Char"/>
    <w:uiPriority w:val="9"/>
    <w:qFormat w:val="1"/>
    <w:rsid w:val="00BD76B7"/>
    <w:pPr>
      <w:ind w:left="112"/>
      <w:jc w:val="both"/>
      <w:outlineLvl w:val="0"/>
    </w:pPr>
    <w:rPr>
      <w:b w:val="1"/>
      <w:bCs w:val="1"/>
      <w:sz w:val="24"/>
      <w:szCs w:val="24"/>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0B7261"/>
    <w:pPr>
      <w:widowControl w:val="1"/>
      <w:tabs>
        <w:tab w:val="center" w:pos="4252"/>
        <w:tab w:val="right" w:pos="8504"/>
      </w:tabs>
      <w:autoSpaceDE w:val="1"/>
      <w:autoSpaceDN w:val="1"/>
    </w:pPr>
    <w:rPr>
      <w:rFonts w:asciiTheme="minorHAnsi" w:cstheme="minorBidi" w:eastAsiaTheme="minorHAnsi" w:hAnsiTheme="minorHAnsi"/>
      <w:lang w:val="pt-BR"/>
    </w:rPr>
  </w:style>
  <w:style w:type="character" w:styleId="CabealhoChar" w:customStyle="1">
    <w:name w:val="Cabeçalho Char"/>
    <w:basedOn w:val="Fontepargpadro"/>
    <w:link w:val="Cabealho"/>
    <w:uiPriority w:val="99"/>
    <w:rsid w:val="000B7261"/>
  </w:style>
  <w:style w:type="paragraph" w:styleId="Rodap">
    <w:name w:val="footer"/>
    <w:basedOn w:val="Normal"/>
    <w:link w:val="RodapChar"/>
    <w:uiPriority w:val="99"/>
    <w:unhideWhenUsed w:val="1"/>
    <w:rsid w:val="000B7261"/>
    <w:pPr>
      <w:widowControl w:val="1"/>
      <w:tabs>
        <w:tab w:val="center" w:pos="4252"/>
        <w:tab w:val="right" w:pos="8504"/>
      </w:tabs>
      <w:autoSpaceDE w:val="1"/>
      <w:autoSpaceDN w:val="1"/>
    </w:pPr>
    <w:rPr>
      <w:rFonts w:asciiTheme="minorHAnsi" w:cstheme="minorBidi" w:eastAsiaTheme="minorHAnsi" w:hAnsiTheme="minorHAnsi"/>
      <w:lang w:val="pt-BR"/>
    </w:rPr>
  </w:style>
  <w:style w:type="character" w:styleId="RodapChar" w:customStyle="1">
    <w:name w:val="Rodapé Char"/>
    <w:basedOn w:val="Fontepargpadro"/>
    <w:link w:val="Rodap"/>
    <w:uiPriority w:val="99"/>
    <w:rsid w:val="000B7261"/>
  </w:style>
  <w:style w:type="paragraph" w:styleId="PargrafodaLista">
    <w:name w:val="List Paragraph"/>
    <w:basedOn w:val="Normal"/>
    <w:uiPriority w:val="34"/>
    <w:qFormat w:val="1"/>
    <w:rsid w:val="000B7261"/>
    <w:pPr>
      <w:widowControl w:val="1"/>
      <w:autoSpaceDE w:val="1"/>
      <w:autoSpaceDN w:val="1"/>
      <w:spacing w:after="160" w:line="259" w:lineRule="auto"/>
      <w:ind w:left="720"/>
      <w:contextualSpacing w:val="1"/>
    </w:pPr>
    <w:rPr>
      <w:rFonts w:asciiTheme="minorHAnsi" w:cstheme="minorBidi" w:eastAsiaTheme="minorHAnsi" w:hAnsiTheme="minorHAnsi"/>
      <w:lang w:val="pt-BR"/>
    </w:rPr>
  </w:style>
  <w:style w:type="character" w:styleId="Ttulo1Char" w:customStyle="1">
    <w:name w:val="Título 1 Char"/>
    <w:basedOn w:val="Fontepargpadro"/>
    <w:link w:val="Ttulo1"/>
    <w:uiPriority w:val="9"/>
    <w:rsid w:val="00BD76B7"/>
    <w:rPr>
      <w:rFonts w:ascii="Calibri" w:cs="Calibri" w:eastAsia="Calibri" w:hAnsi="Calibri"/>
      <w:b w:val="1"/>
      <w:bCs w:val="1"/>
      <w:sz w:val="24"/>
      <w:szCs w:val="24"/>
      <w:lang w:val="pt-PT"/>
    </w:rPr>
  </w:style>
  <w:style w:type="paragraph" w:styleId="Corpodetexto">
    <w:name w:val="Body Text"/>
    <w:basedOn w:val="Normal"/>
    <w:link w:val="CorpodetextoChar"/>
    <w:uiPriority w:val="1"/>
    <w:qFormat w:val="1"/>
    <w:rsid w:val="00BD76B7"/>
    <w:rPr>
      <w:sz w:val="24"/>
      <w:szCs w:val="24"/>
    </w:rPr>
  </w:style>
  <w:style w:type="character" w:styleId="CorpodetextoChar" w:customStyle="1">
    <w:name w:val="Corpo de texto Char"/>
    <w:basedOn w:val="Fontepargpadro"/>
    <w:link w:val="Corpodetexto"/>
    <w:uiPriority w:val="1"/>
    <w:rsid w:val="00BD76B7"/>
    <w:rPr>
      <w:rFonts w:ascii="Calibri" w:cs="Calibri" w:eastAsia="Calibri" w:hAnsi="Calibri"/>
      <w:sz w:val="24"/>
      <w:szCs w:val="24"/>
      <w:lang w:val="pt-PT"/>
    </w:rPr>
  </w:style>
  <w:style w:type="character" w:styleId="Hyperlink">
    <w:name w:val="Hyperlink"/>
    <w:basedOn w:val="Fontepargpadro"/>
    <w:uiPriority w:val="99"/>
    <w:unhideWhenUsed w:val="1"/>
    <w:rsid w:val="00BD76B7"/>
    <w:rPr>
      <w:color w:val="0563c1" w:themeColor="hyperlink"/>
      <w:u w:val="single"/>
    </w:rPr>
  </w:style>
  <w:style w:type="paragraph" w:styleId="Default" w:customStyle="1">
    <w:name w:val="Default"/>
    <w:rsid w:val="00BD76B7"/>
    <w:pPr>
      <w:autoSpaceDE w:val="0"/>
      <w:autoSpaceDN w:val="0"/>
      <w:adjustRightInd w:val="0"/>
      <w:spacing w:after="0" w:line="240" w:lineRule="auto"/>
    </w:pPr>
    <w:rPr>
      <w:rFonts w:ascii="Calibri" w:cs="Calibri" w:hAnsi="Calibri"/>
      <w:color w:val="000000"/>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webleiloes.com.br/" TargetMode="External"/><Relationship Id="rId10" Type="http://schemas.openxmlformats.org/officeDocument/2006/relationships/hyperlink" Target="mailto:contato@webleiloes.com.br" TargetMode="External"/><Relationship Id="rId13" Type="http://schemas.openxmlformats.org/officeDocument/2006/relationships/image" Target="media/image5.png"/><Relationship Id="rId12" Type="http://schemas.openxmlformats.org/officeDocument/2006/relationships/hyperlink" Target="http://www.webleiloes.com.b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webleiloes.com.br/"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webleiloes.com.br" TargetMode="External"/><Relationship Id="rId8" Type="http://schemas.openxmlformats.org/officeDocument/2006/relationships/hyperlink" Target="https://www.jusbrasil.com.br/topicos/28889385/artigo-843-da-lei-n-13105-de-16-de-marco-de-201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 Id="rId5" Type="http://schemas.openxmlformats.org/officeDocument/2006/relationships/font" Target="fonts/Tahoma-regular.ttf"/><Relationship Id="rId6" Type="http://schemas.openxmlformats.org/officeDocument/2006/relationships/font" Target="fonts/Tahoma-bol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3.png"/><Relationship Id="rId3"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7.png"/><Relationship Id="rId3"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dwBu+zgoFCYV0B+vsCEnhOOv2uA==">AMUW2mXvo2mGO6gUWqO1DtpYovFlPcyYKnqPpK7Gs0irJ3q+PMSG/C/rRaGvnLorKLoCNNE7u9n4QfEm7IiNtxxBKih6+XI75LUD7tKQIn5do80ZDoNkulY=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2021-08-26T14:49:00Z</dcterms:created>
  <dc:creator>Juridico WebLeiloes</dc:creator>
</cp:coreProperties>
</file>