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1548" w:rsidRPr="00DE2F37" w:rsidRDefault="007103DA" w:rsidP="00AA47CA">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EDITAL DE 1º E 2º LEILÃO JUDICIAL ELETRÔNICO DE BEM IMÓVEL, BEM COMO PARA INTIMAÇÃO DO(A)(S) EXECUTADO(A)(S)  LUIZ WAGNER RUSSO</w:t>
      </w:r>
      <w:r w:rsidRPr="00DE2F37">
        <w:rPr>
          <w:rFonts w:ascii="Times New Roman" w:hAnsi="Times New Roman"/>
          <w:sz w:val="24"/>
          <w:szCs w:val="24"/>
        </w:rPr>
        <w:t>, inscrito no CPF/MF  sob o nº 894.702.228-49</w:t>
      </w:r>
      <w:r w:rsidR="00AA47CA" w:rsidRPr="00DE2F37">
        <w:rPr>
          <w:rFonts w:ascii="Times New Roman" w:hAnsi="Times New Roman"/>
          <w:sz w:val="24"/>
          <w:szCs w:val="24"/>
        </w:rPr>
        <w:t xml:space="preserve"> </w:t>
      </w:r>
      <w:r w:rsidRPr="00DE2F37">
        <w:rPr>
          <w:rFonts w:ascii="Times New Roman" w:hAnsi="Times New Roman"/>
          <w:sz w:val="24"/>
          <w:szCs w:val="24"/>
        </w:rPr>
        <w:t xml:space="preserve">e </w:t>
      </w:r>
      <w:r w:rsidR="00AA47CA" w:rsidRPr="00DE2F37">
        <w:rPr>
          <w:rFonts w:ascii="Times New Roman" w:hAnsi="Times New Roman"/>
          <w:sz w:val="24"/>
          <w:szCs w:val="24"/>
        </w:rPr>
        <w:t xml:space="preserve">sua esposa </w:t>
      </w:r>
      <w:r w:rsidRPr="00DE2F37">
        <w:rPr>
          <w:rFonts w:ascii="Times New Roman" w:hAnsi="Times New Roman"/>
          <w:sz w:val="24"/>
          <w:szCs w:val="24"/>
        </w:rPr>
        <w:t xml:space="preserve"> </w:t>
      </w:r>
      <w:r w:rsidRPr="00DE2F37">
        <w:rPr>
          <w:rFonts w:ascii="Times New Roman" w:hAnsi="Times New Roman"/>
          <w:b/>
          <w:sz w:val="24"/>
          <w:szCs w:val="24"/>
        </w:rPr>
        <w:t>ELISABETE PERES GUERRERO RUSSO,-</w:t>
      </w:r>
      <w:r w:rsidRPr="00DE2F37">
        <w:rPr>
          <w:rFonts w:ascii="Times New Roman" w:hAnsi="Times New Roman"/>
          <w:sz w:val="24"/>
          <w:szCs w:val="24"/>
        </w:rPr>
        <w:t xml:space="preserve"> portadora do  </w:t>
      </w:r>
      <w:r w:rsidR="00F322F2">
        <w:t>RG nº 2 10.270.731-SSP/SP</w:t>
      </w:r>
      <w:r w:rsidRPr="00DE2F37">
        <w:rPr>
          <w:rFonts w:ascii="Times New Roman" w:hAnsi="Times New Roman"/>
          <w:sz w:val="24"/>
          <w:szCs w:val="24"/>
        </w:rPr>
        <w:t xml:space="preserve">, </w:t>
      </w:r>
      <w:r w:rsidR="009D1383" w:rsidRPr="00DE2F37">
        <w:rPr>
          <w:rFonts w:ascii="Times New Roman" w:hAnsi="Times New Roman"/>
          <w:sz w:val="24"/>
          <w:szCs w:val="24"/>
        </w:rPr>
        <w:t xml:space="preserve">ambos </w:t>
      </w:r>
      <w:r w:rsidRPr="00DE2F37">
        <w:rPr>
          <w:rFonts w:ascii="Times New Roman" w:hAnsi="Times New Roman"/>
          <w:sz w:val="24"/>
          <w:szCs w:val="24"/>
        </w:rPr>
        <w:t>residente</w:t>
      </w:r>
      <w:r w:rsidR="009D1383" w:rsidRPr="00DE2F37">
        <w:rPr>
          <w:rFonts w:ascii="Times New Roman" w:hAnsi="Times New Roman"/>
          <w:sz w:val="24"/>
          <w:szCs w:val="24"/>
        </w:rPr>
        <w:t>s</w:t>
      </w:r>
      <w:r w:rsidRPr="00DE2F37">
        <w:rPr>
          <w:rFonts w:ascii="Times New Roman" w:hAnsi="Times New Roman"/>
          <w:sz w:val="24"/>
          <w:szCs w:val="24"/>
        </w:rPr>
        <w:t xml:space="preserve"> e domiciliado na </w:t>
      </w:r>
      <w:r w:rsidR="009D1383" w:rsidRPr="00DE2F37">
        <w:rPr>
          <w:rFonts w:ascii="Times New Roman" w:hAnsi="Times New Roman"/>
          <w:sz w:val="24"/>
          <w:szCs w:val="24"/>
        </w:rPr>
        <w:t xml:space="preserve">Rua </w:t>
      </w:r>
      <w:r w:rsidR="00AA47CA" w:rsidRPr="00DE2F37">
        <w:rPr>
          <w:rFonts w:ascii="Times New Roman" w:hAnsi="Times New Roman"/>
          <w:sz w:val="24"/>
          <w:szCs w:val="24"/>
        </w:rPr>
        <w:t xml:space="preserve">Sibéria, 58 cep </w:t>
      </w:r>
      <w:r w:rsidR="00AA47CA" w:rsidRPr="00DE2F37">
        <w:rPr>
          <w:rFonts w:ascii="Times New Roman" w:hAnsi="Times New Roman"/>
          <w:color w:val="001D35"/>
          <w:sz w:val="24"/>
          <w:szCs w:val="24"/>
          <w:shd w:val="clear" w:color="auto" w:fill="FFFFFF"/>
        </w:rPr>
        <w:t>09270-040,</w:t>
      </w:r>
      <w:r w:rsidR="00CD2A1D" w:rsidRPr="00DE2F37">
        <w:rPr>
          <w:rFonts w:ascii="Times New Roman" w:hAnsi="Times New Roman"/>
          <w:color w:val="001D35"/>
          <w:sz w:val="24"/>
          <w:szCs w:val="24"/>
          <w:shd w:val="clear" w:color="auto" w:fill="FFFFFF"/>
        </w:rPr>
        <w:t xml:space="preserve"> e do credor hipotecário </w:t>
      </w:r>
      <w:r w:rsidR="009D1383" w:rsidRPr="00DE2F37">
        <w:rPr>
          <w:rFonts w:ascii="Times New Roman" w:hAnsi="Times New Roman"/>
          <w:b/>
          <w:sz w:val="24"/>
          <w:szCs w:val="24"/>
        </w:rPr>
        <w:t xml:space="preserve">BANCO </w:t>
      </w:r>
      <w:r w:rsidR="0072073A" w:rsidRPr="00DE2F37">
        <w:rPr>
          <w:rFonts w:ascii="Times New Roman" w:hAnsi="Times New Roman"/>
          <w:b/>
          <w:sz w:val="24"/>
          <w:szCs w:val="24"/>
        </w:rPr>
        <w:t>ESTADO DE MINAS GERAIS</w:t>
      </w:r>
      <w:r w:rsidR="009D1383" w:rsidRPr="00DE2F37">
        <w:rPr>
          <w:rFonts w:ascii="Times New Roman" w:hAnsi="Times New Roman"/>
          <w:sz w:val="24"/>
          <w:szCs w:val="24"/>
        </w:rPr>
        <w:t xml:space="preserve">: </w:t>
      </w:r>
      <w:r w:rsidR="008B650B" w:rsidRPr="00DE2F37">
        <w:rPr>
          <w:rFonts w:ascii="Times New Roman" w:hAnsi="Times New Roman"/>
          <w:sz w:val="24"/>
          <w:szCs w:val="24"/>
        </w:rPr>
        <w:t>Rua da Bahia, 1.600 - Belo Horizonte - CEP.: 30160-011.</w:t>
      </w:r>
      <w:r w:rsidRPr="00DE2F37">
        <w:rPr>
          <w:rFonts w:ascii="Times New Roman" w:hAnsi="Times New Roman"/>
          <w:sz w:val="24"/>
          <w:szCs w:val="24"/>
        </w:rPr>
        <w:t xml:space="preserve">na </w:t>
      </w:r>
      <w:r w:rsidR="005E29CA" w:rsidRPr="00DE2F37">
        <w:rPr>
          <w:rFonts w:ascii="Times New Roman" w:hAnsi="Times New Roman"/>
          <w:b/>
          <w:sz w:val="24"/>
          <w:szCs w:val="24"/>
        </w:rPr>
        <w:t>A</w:t>
      </w:r>
      <w:r w:rsidRPr="00DE2F37">
        <w:rPr>
          <w:rFonts w:ascii="Times New Roman" w:hAnsi="Times New Roman"/>
          <w:b/>
          <w:sz w:val="24"/>
          <w:szCs w:val="24"/>
        </w:rPr>
        <w:t>ÇÃO</w:t>
      </w:r>
      <w:r w:rsidRPr="00DE2F37">
        <w:rPr>
          <w:rFonts w:ascii="Times New Roman" w:hAnsi="Times New Roman"/>
          <w:sz w:val="24"/>
          <w:szCs w:val="24"/>
        </w:rPr>
        <w:t xml:space="preserve"> </w:t>
      </w:r>
      <w:r w:rsidRPr="00DE2F37">
        <w:rPr>
          <w:rFonts w:ascii="Times New Roman" w:hAnsi="Times New Roman"/>
          <w:b/>
          <w:sz w:val="24"/>
          <w:szCs w:val="24"/>
        </w:rPr>
        <w:t>EXECUÇÃO DE EXECUÇÃO</w:t>
      </w:r>
      <w:r w:rsidRPr="00DE2F37">
        <w:rPr>
          <w:rFonts w:ascii="Times New Roman" w:hAnsi="Times New Roman"/>
          <w:sz w:val="24"/>
          <w:szCs w:val="24"/>
        </w:rPr>
        <w:t xml:space="preserve"> </w:t>
      </w:r>
      <w:r w:rsidR="00262F1A">
        <w:rPr>
          <w:rFonts w:ascii="Times New Roman" w:hAnsi="Times New Roman"/>
          <w:sz w:val="24"/>
          <w:szCs w:val="24"/>
          <w:u w:val="single"/>
        </w:rPr>
        <w:t>nº</w:t>
      </w:r>
      <w:r w:rsidR="00AA47CA" w:rsidRPr="00DE2F37">
        <w:rPr>
          <w:rFonts w:ascii="Times New Roman" w:hAnsi="Times New Roman"/>
          <w:b/>
          <w:sz w:val="24"/>
          <w:szCs w:val="24"/>
          <w:u w:val="single"/>
        </w:rPr>
        <w:t>0010829-86.2018.8.26.0009,</w:t>
      </w:r>
      <w:r w:rsidR="00AA47CA" w:rsidRPr="00DE2F37">
        <w:rPr>
          <w:rFonts w:ascii="Times New Roman" w:hAnsi="Times New Roman"/>
          <w:b/>
          <w:sz w:val="24"/>
          <w:szCs w:val="24"/>
        </w:rPr>
        <w:t xml:space="preserve"> </w:t>
      </w:r>
      <w:r w:rsidRPr="00DE2F37">
        <w:rPr>
          <w:rFonts w:ascii="Times New Roman" w:hAnsi="Times New Roman"/>
          <w:sz w:val="24"/>
          <w:szCs w:val="24"/>
        </w:rPr>
        <w:t xml:space="preserve">em fase de </w:t>
      </w:r>
      <w:r w:rsidRPr="00DE2F37">
        <w:rPr>
          <w:rFonts w:ascii="Times New Roman" w:hAnsi="Times New Roman"/>
          <w:b/>
          <w:sz w:val="24"/>
          <w:szCs w:val="24"/>
        </w:rPr>
        <w:t>CUMPRIMENTO DE SENTENÇA</w:t>
      </w:r>
      <w:r w:rsidRPr="00DE2F37">
        <w:rPr>
          <w:rFonts w:ascii="Times New Roman" w:hAnsi="Times New Roman"/>
          <w:sz w:val="24"/>
          <w:szCs w:val="24"/>
        </w:rPr>
        <w:t xml:space="preserve">, ajuizada por </w:t>
      </w:r>
      <w:r w:rsidR="002B30DC">
        <w:rPr>
          <w:rFonts w:ascii="Times New Roman" w:hAnsi="Times New Roman"/>
          <w:b/>
          <w:sz w:val="24"/>
          <w:szCs w:val="24"/>
        </w:rPr>
        <w:t>CONDOMÍNIO RESIDENCIAL I</w:t>
      </w:r>
      <w:r w:rsidR="00AA47CA" w:rsidRPr="00DE2F37">
        <w:rPr>
          <w:rFonts w:ascii="Times New Roman" w:hAnsi="Times New Roman"/>
          <w:b/>
          <w:sz w:val="24"/>
          <w:szCs w:val="24"/>
        </w:rPr>
        <w:t>LE DE FRANCE</w:t>
      </w:r>
      <w:r w:rsidRPr="00DE2F37">
        <w:rPr>
          <w:rFonts w:ascii="Times New Roman" w:hAnsi="Times New Roman"/>
          <w:sz w:val="24"/>
          <w:szCs w:val="24"/>
        </w:rPr>
        <w:t xml:space="preserve">, inscrito no CNPJ sob nº </w:t>
      </w:r>
      <w:r w:rsidR="002B30DC">
        <w:t xml:space="preserve"> </w:t>
      </w:r>
      <w:r w:rsidR="002B30DC" w:rsidRPr="002B30DC">
        <w:rPr>
          <w:rFonts w:ascii="Times New Roman" w:hAnsi="Times New Roman"/>
          <w:sz w:val="24"/>
          <w:szCs w:val="24"/>
        </w:rPr>
        <w:t>01.250.896/0001-20</w:t>
      </w:r>
      <w:r w:rsidR="00AA47CA" w:rsidRPr="00DE2F37">
        <w:rPr>
          <w:rFonts w:ascii="Times New Roman" w:hAnsi="Times New Roman"/>
          <w:sz w:val="24"/>
          <w:szCs w:val="24"/>
        </w:rPr>
        <w:t>, situado na</w:t>
      </w:r>
      <w:r w:rsidRPr="00DE2F37">
        <w:rPr>
          <w:rFonts w:ascii="Times New Roman" w:hAnsi="Times New Roman"/>
          <w:sz w:val="24"/>
          <w:szCs w:val="24"/>
        </w:rPr>
        <w:t xml:space="preserve">, </w:t>
      </w:r>
      <w:r w:rsidR="00AA47CA" w:rsidRPr="00DE2F37">
        <w:rPr>
          <w:rFonts w:ascii="Times New Roman" w:hAnsi="Times New Roman"/>
          <w:sz w:val="24"/>
          <w:szCs w:val="24"/>
        </w:rPr>
        <w:t>Rua Antero de Quental, 200</w:t>
      </w:r>
      <w:r w:rsidR="002B30DC">
        <w:rPr>
          <w:rFonts w:ascii="Times New Roman" w:hAnsi="Times New Roman"/>
          <w:sz w:val="24"/>
          <w:szCs w:val="24"/>
        </w:rPr>
        <w:t>.</w:t>
      </w:r>
    </w:p>
    <w:p w:rsidR="00AA47CA" w:rsidRPr="00DE2F37" w:rsidRDefault="00AA47CA" w:rsidP="00AA47CA">
      <w:pPr>
        <w:spacing w:after="0" w:line="240" w:lineRule="atLeast"/>
        <w:ind w:left="567" w:right="261"/>
        <w:jc w:val="both"/>
        <w:rPr>
          <w:rFonts w:ascii="Times New Roman" w:hAnsi="Times New Roman"/>
          <w:sz w:val="24"/>
          <w:szCs w:val="24"/>
        </w:rPr>
      </w:pPr>
    </w:p>
    <w:p w:rsidR="00AA47CA" w:rsidRPr="00DE2F37" w:rsidRDefault="00AA47CA" w:rsidP="00AA47CA">
      <w:pPr>
        <w:spacing w:after="0" w:line="240" w:lineRule="atLeast"/>
        <w:ind w:left="567" w:right="261"/>
        <w:jc w:val="both"/>
        <w:rPr>
          <w:rFonts w:ascii="Times New Roman" w:hAnsi="Times New Roman"/>
          <w:b/>
          <w:sz w:val="24"/>
          <w:szCs w:val="24"/>
        </w:rPr>
      </w:pPr>
      <w:r w:rsidRPr="00DE2F37">
        <w:rPr>
          <w:rFonts w:ascii="Times New Roman" w:hAnsi="Times New Roman"/>
          <w:b/>
          <w:sz w:val="24"/>
          <w:szCs w:val="24"/>
        </w:rPr>
        <w:t>A MM</w:t>
      </w:r>
      <w:r w:rsidR="00514D93">
        <w:rPr>
          <w:rFonts w:ascii="Times New Roman" w:hAnsi="Times New Roman"/>
          <w:b/>
          <w:sz w:val="24"/>
          <w:szCs w:val="24"/>
        </w:rPr>
        <w:t>a.</w:t>
      </w:r>
      <w:r w:rsidR="00262F1A">
        <w:rPr>
          <w:rFonts w:ascii="Times New Roman" w:hAnsi="Times New Roman"/>
          <w:b/>
          <w:sz w:val="24"/>
          <w:szCs w:val="24"/>
        </w:rPr>
        <w:t xml:space="preserve"> JUÍZA DE DIREITO DA 1ª VARA</w:t>
      </w:r>
      <w:r w:rsidRPr="00DE2F37">
        <w:rPr>
          <w:rFonts w:ascii="Times New Roman" w:hAnsi="Times New Roman"/>
          <w:b/>
          <w:sz w:val="24"/>
          <w:szCs w:val="24"/>
        </w:rPr>
        <w:t xml:space="preserve"> CÍVEL </w:t>
      </w:r>
      <w:r w:rsidR="000F573D" w:rsidRPr="00DE2F37">
        <w:rPr>
          <w:rFonts w:ascii="Times New Roman" w:hAnsi="Times New Roman"/>
          <w:b/>
          <w:sz w:val="24"/>
          <w:szCs w:val="24"/>
        </w:rPr>
        <w:t xml:space="preserve">DO FORO DE VILA </w:t>
      </w:r>
      <w:r w:rsidR="00262F1A" w:rsidRPr="00DE2F37">
        <w:rPr>
          <w:rFonts w:ascii="Times New Roman" w:hAnsi="Times New Roman"/>
          <w:b/>
          <w:sz w:val="24"/>
          <w:szCs w:val="24"/>
        </w:rPr>
        <w:t>PRUDENTE,</w:t>
      </w:r>
      <w:r w:rsidRPr="00DE2F37">
        <w:rPr>
          <w:rFonts w:ascii="Times New Roman" w:hAnsi="Times New Roman"/>
          <w:b/>
          <w:sz w:val="24"/>
          <w:szCs w:val="24"/>
        </w:rPr>
        <w:t xml:space="preserve"> ESTADO DE SÃO PAULO, Dr</w:t>
      </w:r>
      <w:r w:rsidR="000F573D" w:rsidRPr="00DE2F37">
        <w:rPr>
          <w:rFonts w:ascii="Times New Roman" w:hAnsi="Times New Roman"/>
          <w:b/>
          <w:sz w:val="24"/>
          <w:szCs w:val="24"/>
        </w:rPr>
        <w:t>a</w:t>
      </w:r>
      <w:r w:rsidRPr="00DE2F37">
        <w:rPr>
          <w:rFonts w:ascii="Times New Roman" w:hAnsi="Times New Roman"/>
          <w:b/>
          <w:sz w:val="24"/>
          <w:szCs w:val="24"/>
        </w:rPr>
        <w:t>. FABIANA PEREIRA RAGAZZI</w:t>
      </w:r>
    </w:p>
    <w:p w:rsidR="000F573D" w:rsidRPr="00DE2F37" w:rsidRDefault="000F573D" w:rsidP="00AA47CA">
      <w:pPr>
        <w:spacing w:after="0" w:line="240" w:lineRule="atLeast"/>
        <w:ind w:left="567" w:right="261"/>
        <w:jc w:val="both"/>
        <w:rPr>
          <w:rFonts w:ascii="Times New Roman" w:hAnsi="Times New Roman"/>
          <w:sz w:val="24"/>
          <w:szCs w:val="24"/>
        </w:rPr>
      </w:pPr>
    </w:p>
    <w:p w:rsidR="000F573D" w:rsidRPr="00DE2F37" w:rsidRDefault="000F573D" w:rsidP="00AA47CA">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FAZ SABER</w:t>
      </w:r>
      <w:r w:rsidRPr="00DE2F37">
        <w:rPr>
          <w:rFonts w:ascii="Times New Roman" w:hAnsi="Times New Roman"/>
          <w:sz w:val="24"/>
          <w:szCs w:val="24"/>
        </w:rPr>
        <w:t xml:space="preserve">, pelo presente </w:t>
      </w:r>
      <w:r w:rsidRPr="00DE2F37">
        <w:rPr>
          <w:rFonts w:ascii="Times New Roman" w:hAnsi="Times New Roman"/>
          <w:b/>
          <w:sz w:val="24"/>
          <w:szCs w:val="24"/>
        </w:rPr>
        <w:t>EDITA</w:t>
      </w:r>
      <w:r w:rsidRPr="00DE2F37">
        <w:rPr>
          <w:rFonts w:ascii="Times New Roman" w:hAnsi="Times New Roman"/>
          <w:sz w:val="24"/>
          <w:szCs w:val="24"/>
        </w:rPr>
        <w:t xml:space="preserve">L, o leiloeiro público </w:t>
      </w:r>
      <w:r w:rsidRPr="00DE2F37">
        <w:rPr>
          <w:rFonts w:ascii="Times New Roman" w:hAnsi="Times New Roman"/>
          <w:b/>
          <w:sz w:val="24"/>
          <w:szCs w:val="24"/>
        </w:rPr>
        <w:t>LUIZ CARLOS LEVOTO, JUCESP 942</w:t>
      </w:r>
      <w:r w:rsidRPr="00DE2F37">
        <w:rPr>
          <w:rFonts w:ascii="Times New Roman" w:hAnsi="Times New Roman"/>
          <w:sz w:val="24"/>
          <w:szCs w:val="24"/>
        </w:rPr>
        <w:t xml:space="preserve">, foi designado para levar a leilão judicial eletrônico o(s) bem(ns) imóvel(is) abaixo descrito(s), através do sítio </w:t>
      </w:r>
      <w:r w:rsidRPr="00DE2F37">
        <w:rPr>
          <w:rFonts w:ascii="Times New Roman" w:hAnsi="Times New Roman"/>
          <w:b/>
          <w:sz w:val="24"/>
          <w:szCs w:val="24"/>
        </w:rPr>
        <w:t>www.leilaoinvestment.com.br</w:t>
      </w:r>
      <w:r w:rsidRPr="00DE2F37">
        <w:rPr>
          <w:rFonts w:ascii="Times New Roman" w:hAnsi="Times New Roman"/>
          <w:sz w:val="24"/>
          <w:szCs w:val="24"/>
        </w:rPr>
        <w:t>, nas condições que seguem:</w:t>
      </w:r>
    </w:p>
    <w:p w:rsidR="000F573D" w:rsidRPr="00DE2F37" w:rsidRDefault="000F573D" w:rsidP="00AA47CA">
      <w:pPr>
        <w:spacing w:after="0" w:line="240" w:lineRule="atLeast"/>
        <w:ind w:left="567" w:right="261"/>
        <w:jc w:val="both"/>
        <w:rPr>
          <w:rFonts w:ascii="Times New Roman" w:hAnsi="Times New Roman"/>
          <w:sz w:val="24"/>
          <w:szCs w:val="24"/>
        </w:rPr>
      </w:pPr>
    </w:p>
    <w:p w:rsidR="00A140FB" w:rsidRPr="00DE2F37" w:rsidRDefault="000F573D" w:rsidP="00AA47CA">
      <w:pPr>
        <w:spacing w:after="0" w:line="240" w:lineRule="atLeast"/>
        <w:ind w:left="567" w:right="261"/>
        <w:jc w:val="both"/>
        <w:rPr>
          <w:rFonts w:ascii="Times New Roman" w:hAnsi="Times New Roman"/>
          <w:b/>
          <w:sz w:val="24"/>
          <w:szCs w:val="24"/>
        </w:rPr>
      </w:pPr>
      <w:r w:rsidRPr="00DE2F37">
        <w:rPr>
          <w:rFonts w:ascii="Times New Roman" w:hAnsi="Times New Roman"/>
          <w:b/>
          <w:sz w:val="24"/>
          <w:szCs w:val="24"/>
        </w:rPr>
        <w:t xml:space="preserve">RELAÇÃO DO BEM: </w:t>
      </w:r>
    </w:p>
    <w:p w:rsidR="00A140FB" w:rsidRPr="00DE2F37" w:rsidRDefault="00A140FB" w:rsidP="00AA47CA">
      <w:pPr>
        <w:spacing w:after="0" w:line="240" w:lineRule="atLeast"/>
        <w:ind w:left="567" w:right="261"/>
        <w:jc w:val="both"/>
        <w:rPr>
          <w:rFonts w:ascii="Times New Roman" w:hAnsi="Times New Roman"/>
          <w:b/>
          <w:sz w:val="24"/>
          <w:szCs w:val="24"/>
        </w:rPr>
      </w:pPr>
    </w:p>
    <w:p w:rsidR="00A140FB" w:rsidRPr="00DE2F37" w:rsidRDefault="00A140FB" w:rsidP="00A140FB">
      <w:pPr>
        <w:spacing w:after="0" w:line="240" w:lineRule="atLeast"/>
        <w:ind w:left="567" w:right="261"/>
        <w:jc w:val="both"/>
        <w:rPr>
          <w:rFonts w:ascii="Times New Roman" w:hAnsi="Times New Roman"/>
          <w:sz w:val="24"/>
          <w:szCs w:val="24"/>
        </w:rPr>
      </w:pPr>
      <w:r w:rsidRPr="002E1B34">
        <w:rPr>
          <w:rFonts w:ascii="Times New Roman" w:hAnsi="Times New Roman"/>
          <w:b/>
          <w:sz w:val="24"/>
          <w:szCs w:val="24"/>
          <w:u w:val="single"/>
        </w:rPr>
        <w:t>IMÓVEL I</w:t>
      </w:r>
      <w:r w:rsidR="002E1B34">
        <w:rPr>
          <w:rFonts w:ascii="Times New Roman" w:hAnsi="Times New Roman"/>
          <w:b/>
          <w:sz w:val="24"/>
          <w:szCs w:val="24"/>
        </w:rPr>
        <w:t xml:space="preserve"> </w:t>
      </w:r>
      <w:r w:rsidRPr="00DE2F37">
        <w:rPr>
          <w:rFonts w:ascii="Times New Roman" w:hAnsi="Times New Roman"/>
          <w:b/>
          <w:sz w:val="24"/>
          <w:szCs w:val="24"/>
        </w:rPr>
        <w:t xml:space="preserve">- </w:t>
      </w:r>
      <w:r w:rsidRPr="00DE2F37">
        <w:rPr>
          <w:rFonts w:ascii="Times New Roman" w:hAnsi="Times New Roman"/>
          <w:sz w:val="24"/>
          <w:szCs w:val="24"/>
        </w:rPr>
        <w:t xml:space="preserve">O </w:t>
      </w:r>
      <w:r w:rsidRPr="00F322F2">
        <w:rPr>
          <w:rFonts w:ascii="Times New Roman" w:hAnsi="Times New Roman"/>
          <w:b/>
          <w:sz w:val="24"/>
          <w:szCs w:val="24"/>
        </w:rPr>
        <w:t>APARTAMENTO</w:t>
      </w:r>
      <w:r w:rsidRPr="00DE2F37">
        <w:rPr>
          <w:rFonts w:ascii="Times New Roman" w:hAnsi="Times New Roman"/>
          <w:sz w:val="24"/>
          <w:szCs w:val="24"/>
        </w:rPr>
        <w:t>-TIPO n° 43-A, localizado no 4 º andar do EDIFÍCIO SAINT RONORÉ (BLOCO "A"), integrante do empreendimento denominado CONDOMÍNIO RESIDENCIAL ILE DE FRANCE, situado à rua Antera de Quental, n° 200, na Vila Santa Clara, 26° SUBDISTRITO-VILA PRUDENTE, com a área útil de 5</w:t>
      </w:r>
      <w:r w:rsidR="00262F1A">
        <w:rPr>
          <w:rFonts w:ascii="Times New Roman" w:hAnsi="Times New Roman"/>
          <w:sz w:val="24"/>
          <w:szCs w:val="24"/>
        </w:rPr>
        <w:t>7</w:t>
      </w:r>
      <w:r w:rsidRPr="00DE2F37">
        <w:rPr>
          <w:rFonts w:ascii="Times New Roman" w:hAnsi="Times New Roman"/>
          <w:sz w:val="24"/>
          <w:szCs w:val="24"/>
        </w:rPr>
        <w:t>,83m2, a área comum coberta de 9,99</w:t>
      </w:r>
      <w:r w:rsidR="00262F1A" w:rsidRPr="00262F1A">
        <w:rPr>
          <w:rStyle w:val="InternetLink"/>
          <w:rFonts w:ascii="Segoe UI" w:hAnsi="Segoe UI" w:cs="Segoe UI"/>
          <w:color w:val="333333"/>
          <w:sz w:val="27"/>
          <w:szCs w:val="27"/>
          <w:shd w:val="clear" w:color="auto" w:fill="FFFFFF"/>
        </w:rPr>
        <w:t xml:space="preserve"> </w:t>
      </w:r>
      <w:r w:rsidR="00262F1A" w:rsidRPr="00262F1A">
        <w:rPr>
          <w:rStyle w:val="Forte"/>
          <w:rFonts w:ascii="Times New Roman" w:hAnsi="Times New Roman"/>
          <w:b w:val="0"/>
          <w:color w:val="333333"/>
          <w:sz w:val="24"/>
          <w:szCs w:val="24"/>
          <w:shd w:val="clear" w:color="auto" w:fill="FFFFFF"/>
        </w:rPr>
        <w:t>m²</w:t>
      </w:r>
      <w:r w:rsidRPr="00262F1A">
        <w:rPr>
          <w:rFonts w:ascii="Times New Roman" w:hAnsi="Times New Roman"/>
          <w:b/>
          <w:sz w:val="24"/>
          <w:szCs w:val="24"/>
        </w:rPr>
        <w:t>,</w:t>
      </w:r>
      <w:r w:rsidRPr="00DE2F37">
        <w:rPr>
          <w:rFonts w:ascii="Times New Roman" w:hAnsi="Times New Roman"/>
          <w:sz w:val="24"/>
          <w:szCs w:val="24"/>
        </w:rPr>
        <w:t xml:space="preserve"> a área comum descoberta de 21,53m2, encerrando a área construída de 89,35m2 e cabendo-lhe a fração ideal de 0,818800% no terreno e nas </w:t>
      </w:r>
      <w:r w:rsidR="00262F1A">
        <w:rPr>
          <w:rFonts w:ascii="Times New Roman" w:hAnsi="Times New Roman"/>
          <w:sz w:val="24"/>
          <w:szCs w:val="24"/>
        </w:rPr>
        <w:t xml:space="preserve">coisas </w:t>
      </w:r>
      <w:r w:rsidRPr="00DE2F37">
        <w:rPr>
          <w:rFonts w:ascii="Times New Roman" w:hAnsi="Times New Roman"/>
          <w:sz w:val="24"/>
          <w:szCs w:val="24"/>
        </w:rPr>
        <w:t>comuns do condomínio. O terreno resultante dos lotes 07, 08, 09, 10 e 11, da quadra D, onde se acha construído e referido empreendimento, encerra a área de 1.722,00m2.</w:t>
      </w:r>
    </w:p>
    <w:p w:rsidR="00A140FB" w:rsidRDefault="00A140FB" w:rsidP="00A140FB">
      <w:pPr>
        <w:spacing w:after="0" w:line="240" w:lineRule="atLeast"/>
        <w:ind w:left="567" w:right="261"/>
        <w:jc w:val="both"/>
        <w:rPr>
          <w:rFonts w:ascii="Times New Roman" w:hAnsi="Times New Roman"/>
          <w:b/>
          <w:sz w:val="24"/>
          <w:szCs w:val="24"/>
        </w:rPr>
      </w:pPr>
      <w:r w:rsidRPr="00DE2F37">
        <w:rPr>
          <w:rFonts w:ascii="Times New Roman" w:hAnsi="Times New Roman"/>
          <w:b/>
          <w:sz w:val="24"/>
          <w:szCs w:val="24"/>
        </w:rPr>
        <w:t>MATRÍCULA - 125.781</w:t>
      </w:r>
    </w:p>
    <w:p w:rsidR="00DE2F37" w:rsidRDefault="00262F1A" w:rsidP="00A140FB">
      <w:pPr>
        <w:spacing w:after="0" w:line="240" w:lineRule="atLeast"/>
        <w:ind w:left="567" w:right="261"/>
        <w:jc w:val="both"/>
        <w:rPr>
          <w:rFonts w:ascii="Times New Roman" w:hAnsi="Times New Roman"/>
          <w:b/>
          <w:sz w:val="24"/>
          <w:szCs w:val="24"/>
        </w:rPr>
      </w:pPr>
      <w:r>
        <w:rPr>
          <w:rFonts w:ascii="Times New Roman" w:hAnsi="Times New Roman"/>
          <w:b/>
          <w:sz w:val="24"/>
          <w:szCs w:val="24"/>
        </w:rPr>
        <w:t>CONTRIBUINTE -</w:t>
      </w:r>
      <w:r w:rsidR="00DE2F37">
        <w:rPr>
          <w:rFonts w:ascii="Times New Roman" w:hAnsi="Times New Roman"/>
          <w:b/>
          <w:sz w:val="24"/>
          <w:szCs w:val="24"/>
        </w:rPr>
        <w:t xml:space="preserve"> 102.032.0077-1</w:t>
      </w:r>
      <w:r w:rsidR="002E1B34">
        <w:rPr>
          <w:rFonts w:ascii="Times New Roman" w:hAnsi="Times New Roman"/>
          <w:b/>
          <w:sz w:val="24"/>
          <w:szCs w:val="24"/>
        </w:rPr>
        <w:t xml:space="preserve">  </w:t>
      </w:r>
    </w:p>
    <w:p w:rsidR="00951376" w:rsidRDefault="00951376" w:rsidP="00A140FB">
      <w:pPr>
        <w:spacing w:after="0" w:line="240" w:lineRule="atLeast"/>
        <w:ind w:left="567" w:right="261"/>
        <w:jc w:val="both"/>
        <w:rPr>
          <w:rFonts w:ascii="Times New Roman" w:hAnsi="Times New Roman"/>
          <w:b/>
          <w:sz w:val="24"/>
          <w:szCs w:val="24"/>
        </w:rPr>
      </w:pPr>
    </w:p>
    <w:p w:rsidR="00951376" w:rsidRPr="00DE2F37" w:rsidRDefault="00951376" w:rsidP="00A140FB">
      <w:pPr>
        <w:spacing w:after="0" w:line="240" w:lineRule="atLeast"/>
        <w:ind w:left="567" w:right="261"/>
        <w:jc w:val="both"/>
        <w:rPr>
          <w:rFonts w:ascii="Times New Roman" w:hAnsi="Times New Roman"/>
          <w:b/>
          <w:sz w:val="24"/>
          <w:szCs w:val="24"/>
        </w:rPr>
      </w:pPr>
      <w:r>
        <w:rPr>
          <w:rFonts w:ascii="Times New Roman" w:hAnsi="Times New Roman"/>
          <w:b/>
          <w:sz w:val="24"/>
          <w:szCs w:val="24"/>
        </w:rPr>
        <w:t xml:space="preserve">Observação do Perito - </w:t>
      </w:r>
      <w:r>
        <w:t>O apartamento avaliando, com área de 57,83 m2 , possui sala de estar e jantar, dois dormitórios, um banheiro, cozinha, área de serviço e uma vaga de garagem. O Condomínio Residencial Ile de France possui nas áreas comuns, academia, playground, espaço baby, salão de festas e piscina. (G.N.) fls 612.</w:t>
      </w:r>
    </w:p>
    <w:p w:rsidR="00A140FB" w:rsidRPr="00DE2F37" w:rsidRDefault="00A140FB" w:rsidP="00AA47CA">
      <w:pPr>
        <w:spacing w:after="0" w:line="240" w:lineRule="atLeast"/>
        <w:ind w:left="567" w:right="261"/>
        <w:jc w:val="both"/>
        <w:rPr>
          <w:rFonts w:ascii="Times New Roman" w:hAnsi="Times New Roman"/>
          <w:b/>
          <w:sz w:val="24"/>
          <w:szCs w:val="24"/>
        </w:rPr>
      </w:pPr>
    </w:p>
    <w:p w:rsidR="00A140FB" w:rsidRPr="002E1B34" w:rsidRDefault="00A140FB" w:rsidP="00AA47CA">
      <w:pPr>
        <w:spacing w:after="0" w:line="240" w:lineRule="atLeast"/>
        <w:ind w:left="567" w:right="261"/>
        <w:jc w:val="both"/>
        <w:rPr>
          <w:rFonts w:ascii="Times New Roman" w:hAnsi="Times New Roman"/>
          <w:b/>
          <w:sz w:val="24"/>
          <w:szCs w:val="24"/>
        </w:rPr>
      </w:pPr>
      <w:r w:rsidRPr="00DE2F37">
        <w:rPr>
          <w:rFonts w:ascii="Times New Roman" w:hAnsi="Times New Roman"/>
          <w:b/>
          <w:sz w:val="24"/>
          <w:szCs w:val="24"/>
        </w:rPr>
        <w:t xml:space="preserve"> </w:t>
      </w:r>
      <w:r w:rsidRPr="002E1B34">
        <w:rPr>
          <w:rFonts w:ascii="Times New Roman" w:hAnsi="Times New Roman"/>
          <w:b/>
          <w:sz w:val="24"/>
          <w:szCs w:val="24"/>
        </w:rPr>
        <w:t xml:space="preserve">DO ÔNUS </w:t>
      </w:r>
    </w:p>
    <w:p w:rsidR="008B5CF4" w:rsidRPr="00DE2F37" w:rsidRDefault="008B5CF4" w:rsidP="00AA47CA">
      <w:pPr>
        <w:spacing w:after="0" w:line="240" w:lineRule="atLeast"/>
        <w:ind w:left="567" w:right="261"/>
        <w:jc w:val="both"/>
        <w:rPr>
          <w:rFonts w:ascii="Times New Roman" w:hAnsi="Times New Roman"/>
          <w:b/>
          <w:sz w:val="24"/>
          <w:szCs w:val="24"/>
        </w:rPr>
      </w:pPr>
    </w:p>
    <w:p w:rsidR="008B5CF4" w:rsidRPr="00DE2F37" w:rsidRDefault="008B5CF4" w:rsidP="00AA47CA">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 xml:space="preserve">AV.05/M.125.781 em 04 de outubro de 1.995. Foi emitida em 27 de setembro de 1.995, a Cédula Hipotecária Integral </w:t>
      </w:r>
      <w:r w:rsidR="00D94757">
        <w:rPr>
          <w:rFonts w:ascii="Times New Roman" w:hAnsi="Times New Roman"/>
          <w:sz w:val="24"/>
          <w:szCs w:val="24"/>
        </w:rPr>
        <w:t>–</w:t>
      </w:r>
      <w:r w:rsidRPr="00DE2F37">
        <w:rPr>
          <w:rFonts w:ascii="Times New Roman" w:hAnsi="Times New Roman"/>
          <w:sz w:val="24"/>
          <w:szCs w:val="24"/>
        </w:rPr>
        <w:t xml:space="preserve"> n</w:t>
      </w:r>
      <w:r w:rsidR="00D94757">
        <w:rPr>
          <w:rFonts w:ascii="Times New Roman" w:hAnsi="Times New Roman"/>
          <w:sz w:val="24"/>
          <w:szCs w:val="24"/>
        </w:rPr>
        <w:t>º</w:t>
      </w:r>
      <w:r w:rsidRPr="00DE2F37">
        <w:rPr>
          <w:rFonts w:ascii="Times New Roman" w:hAnsi="Times New Roman"/>
          <w:sz w:val="24"/>
          <w:szCs w:val="24"/>
        </w:rPr>
        <w:t xml:space="preserve"> 11.001082.0995-8, Serie A, pelo BANCO DE CRÉDITO REAL DE MINAS GERAIS S/A, já qualificado, em que figuram como devedores, LUIZ WAGNER RUSSO e sua mulher EL</w:t>
      </w:r>
      <w:r w:rsidR="00262F1A">
        <w:rPr>
          <w:rFonts w:ascii="Times New Roman" w:hAnsi="Times New Roman"/>
          <w:sz w:val="24"/>
          <w:szCs w:val="24"/>
        </w:rPr>
        <w:t>ISABETE PERES GUERRERO RUSSO, já qualificados, e como favo</w:t>
      </w:r>
      <w:r w:rsidRPr="00DE2F37">
        <w:rPr>
          <w:rFonts w:ascii="Times New Roman" w:hAnsi="Times New Roman"/>
          <w:sz w:val="24"/>
          <w:szCs w:val="24"/>
        </w:rPr>
        <w:t>recido o mesmo emitente.</w:t>
      </w:r>
    </w:p>
    <w:p w:rsidR="008B5CF4" w:rsidRPr="00DE2F37" w:rsidRDefault="008B5CF4" w:rsidP="00AA47CA">
      <w:pPr>
        <w:spacing w:after="0" w:line="240" w:lineRule="atLeast"/>
        <w:ind w:left="567" w:right="261"/>
        <w:jc w:val="both"/>
        <w:rPr>
          <w:rFonts w:ascii="Times New Roman" w:hAnsi="Times New Roman"/>
          <w:sz w:val="24"/>
          <w:szCs w:val="24"/>
        </w:rPr>
      </w:pPr>
    </w:p>
    <w:p w:rsidR="008B5CF4" w:rsidRPr="00DE2F37" w:rsidRDefault="008B5CF4" w:rsidP="00AA47CA">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Av.6/M.125.781</w:t>
      </w:r>
      <w:r w:rsidR="00D94757">
        <w:rPr>
          <w:rFonts w:ascii="Times New Roman" w:hAnsi="Times New Roman"/>
          <w:sz w:val="24"/>
          <w:szCs w:val="24"/>
        </w:rPr>
        <w:t xml:space="preserve"> em 1º</w:t>
      </w:r>
      <w:r w:rsidRPr="00DE2F37">
        <w:rPr>
          <w:rFonts w:ascii="Times New Roman" w:hAnsi="Times New Roman"/>
          <w:sz w:val="24"/>
          <w:szCs w:val="24"/>
        </w:rPr>
        <w:t xml:space="preserve"> de setembro de 1.999 ACC Pelo campo 7.1 d</w:t>
      </w:r>
      <w:r w:rsidR="00D94757">
        <w:rPr>
          <w:rFonts w:ascii="Times New Roman" w:hAnsi="Times New Roman"/>
          <w:sz w:val="24"/>
          <w:szCs w:val="24"/>
        </w:rPr>
        <w:t>a Cédula Hipotecária Integral nº</w:t>
      </w:r>
      <w:r w:rsidRPr="00DE2F37">
        <w:rPr>
          <w:rFonts w:ascii="Times New Roman" w:hAnsi="Times New Roman"/>
          <w:sz w:val="24"/>
          <w:szCs w:val="24"/>
        </w:rPr>
        <w:t xml:space="preserve"> 11.001082.09.95-8, Série "A", completado com requerimento datado de 03 de junho de 1.998, o BANCO DE CRÉDITO REAL DE MINAS GERAIS S/A., já qualificado, CEDEU por ENDOSSO ao BANCO DE DESENVOLVIMENTO DE MINAS GERAIS. S/A – BDMG</w:t>
      </w:r>
    </w:p>
    <w:p w:rsidR="008B5CF4" w:rsidRPr="00DE2F37" w:rsidRDefault="008B5CF4" w:rsidP="00AA47CA">
      <w:pPr>
        <w:spacing w:after="0" w:line="240" w:lineRule="atLeast"/>
        <w:ind w:left="567" w:right="261"/>
        <w:jc w:val="both"/>
        <w:rPr>
          <w:rFonts w:ascii="Times New Roman" w:hAnsi="Times New Roman"/>
          <w:sz w:val="24"/>
          <w:szCs w:val="24"/>
        </w:rPr>
      </w:pPr>
    </w:p>
    <w:p w:rsidR="008B5CF4" w:rsidRPr="00DE2F37" w:rsidRDefault="00D94757" w:rsidP="00AA47CA">
      <w:pPr>
        <w:spacing w:after="0" w:line="240" w:lineRule="atLeast"/>
        <w:ind w:left="567" w:right="261"/>
        <w:jc w:val="both"/>
        <w:rPr>
          <w:rFonts w:ascii="Times New Roman" w:hAnsi="Times New Roman"/>
          <w:sz w:val="24"/>
          <w:szCs w:val="24"/>
        </w:rPr>
      </w:pPr>
      <w:r>
        <w:rPr>
          <w:rFonts w:ascii="Times New Roman" w:hAnsi="Times New Roman"/>
          <w:sz w:val="24"/>
          <w:szCs w:val="24"/>
        </w:rPr>
        <w:lastRenderedPageBreak/>
        <w:t>Av.7/M.125.781 em 1º</w:t>
      </w:r>
      <w:r w:rsidR="008B5CF4" w:rsidRPr="00DE2F37">
        <w:rPr>
          <w:rFonts w:ascii="Times New Roman" w:hAnsi="Times New Roman"/>
          <w:sz w:val="24"/>
          <w:szCs w:val="24"/>
        </w:rPr>
        <w:t xml:space="preserve"> de setembro de 1.999 Do instrumento particular datado de 12 de ag</w:t>
      </w:r>
      <w:r>
        <w:rPr>
          <w:rFonts w:ascii="Times New Roman" w:hAnsi="Times New Roman"/>
          <w:sz w:val="24"/>
          <w:szCs w:val="24"/>
        </w:rPr>
        <w:t>osto de 1.997 registrado sob nº</w:t>
      </w:r>
      <w:r w:rsidR="008B5CF4" w:rsidRPr="00DE2F37">
        <w:rPr>
          <w:rFonts w:ascii="Times New Roman" w:hAnsi="Times New Roman"/>
          <w:sz w:val="24"/>
          <w:szCs w:val="24"/>
        </w:rPr>
        <w:t xml:space="preserve"> 580788, em 14 de novembro de 1.997, pelo 2</w:t>
      </w:r>
      <w:r>
        <w:rPr>
          <w:rFonts w:ascii="Times New Roman" w:hAnsi="Times New Roman"/>
          <w:sz w:val="24"/>
          <w:szCs w:val="24"/>
        </w:rPr>
        <w:t>º</w:t>
      </w:r>
      <w:r w:rsidR="008B5CF4" w:rsidRPr="00DE2F37">
        <w:rPr>
          <w:rFonts w:ascii="Times New Roman" w:hAnsi="Times New Roman"/>
          <w:sz w:val="24"/>
          <w:szCs w:val="24"/>
        </w:rPr>
        <w:t xml:space="preserve"> Oficial de Registro de Título e Documentos da comarca de Belo Horizonte, Estado de Minas Gerais, e do mesmo requerimento mencionado na Av.06 desta matricula, o BANCO DE CRÉDITO REAL DE MINAS GERAIS S/A., já qualificado, CEDEU E TRANSFERIU ao BANCO DE DESENVOLVIMENTO DE MINAS GERAIS S/A.</w:t>
      </w:r>
    </w:p>
    <w:p w:rsidR="008B5CF4" w:rsidRPr="00DE2F37" w:rsidRDefault="008B5CF4" w:rsidP="00AA47CA">
      <w:pPr>
        <w:spacing w:after="0" w:line="240" w:lineRule="atLeast"/>
        <w:ind w:left="567" w:right="261"/>
        <w:jc w:val="both"/>
        <w:rPr>
          <w:rFonts w:ascii="Times New Roman" w:hAnsi="Times New Roman"/>
          <w:sz w:val="24"/>
          <w:szCs w:val="24"/>
        </w:rPr>
      </w:pPr>
    </w:p>
    <w:p w:rsidR="008B5CF4" w:rsidRPr="00DE2F37" w:rsidRDefault="008B5CF4" w:rsidP="00AA47CA">
      <w:pPr>
        <w:spacing w:after="0" w:line="240" w:lineRule="atLeast"/>
        <w:ind w:left="567" w:right="261"/>
        <w:jc w:val="both"/>
        <w:rPr>
          <w:rFonts w:ascii="Times New Roman" w:hAnsi="Times New Roman"/>
          <w:b/>
          <w:sz w:val="24"/>
          <w:szCs w:val="24"/>
        </w:rPr>
      </w:pPr>
      <w:r w:rsidRPr="00DE2F37">
        <w:rPr>
          <w:rFonts w:ascii="Times New Roman" w:hAnsi="Times New Roman"/>
          <w:sz w:val="24"/>
          <w:szCs w:val="24"/>
        </w:rPr>
        <w:t xml:space="preserve">AV-8/M.125.781 em 24 de janeiro de 2.000 ACC É feita esta averbação nos termos do </w:t>
      </w:r>
      <w:r w:rsidR="00D94757">
        <w:rPr>
          <w:rFonts w:ascii="Arial" w:hAnsi="Arial" w:cs="Arial"/>
          <w:color w:val="001D35"/>
          <w:shd w:val="clear" w:color="auto" w:fill="FFFFFF"/>
        </w:rPr>
        <w:t>§1º</w:t>
      </w:r>
      <w:r w:rsidR="000265D0">
        <w:rPr>
          <w:rFonts w:ascii="Times New Roman" w:hAnsi="Times New Roman"/>
          <w:sz w:val="24"/>
          <w:szCs w:val="24"/>
        </w:rPr>
        <w:t>, do art. 213, da Lei nº</w:t>
      </w:r>
      <w:r w:rsidRPr="00DE2F37">
        <w:rPr>
          <w:rFonts w:ascii="Times New Roman" w:hAnsi="Times New Roman"/>
          <w:sz w:val="24"/>
          <w:szCs w:val="24"/>
        </w:rPr>
        <w:t xml:space="preserve"> 6.015/73 para constar que a redação correta da AV-07 desta matricula é a seguinte: "Do contrato de liquidação de débitos com terceiro contra pagamento, entre o Estado de Minas Gerais e o Banco de Desenvolvimento de Minas Gerais S.A. - 8DMG, datado de 24 de junho de 1.998, e nos termos do campo 7.1 da Cé</w:t>
      </w:r>
      <w:r w:rsidR="000265D0">
        <w:rPr>
          <w:rFonts w:ascii="Times New Roman" w:hAnsi="Times New Roman"/>
          <w:sz w:val="24"/>
          <w:szCs w:val="24"/>
        </w:rPr>
        <w:t>dula Hipotecária averbada sob nº</w:t>
      </w:r>
      <w:r w:rsidRPr="00DE2F37">
        <w:rPr>
          <w:rFonts w:ascii="Times New Roman" w:hAnsi="Times New Roman"/>
          <w:sz w:val="24"/>
          <w:szCs w:val="24"/>
        </w:rPr>
        <w:t xml:space="preserve"> 05 nesta, datado de 19 de agosto de 1.998, o BANCO DE DESENVOLVIMENTO DE MINAS GERAIS S/A - BDMG, já qualificado (cessionário pela AV-06), CEDEU E TRANSFERIU a titulo de dação em pagamento ao ESTADO DE MINAS GERAIS</w:t>
      </w:r>
    </w:p>
    <w:p w:rsidR="00525D99" w:rsidRDefault="00525D99" w:rsidP="00AA47CA">
      <w:pPr>
        <w:spacing w:after="0" w:line="240" w:lineRule="atLeast"/>
        <w:ind w:left="567" w:right="261"/>
        <w:jc w:val="both"/>
        <w:rPr>
          <w:rFonts w:ascii="Times New Roman" w:hAnsi="Times New Roman"/>
          <w:b/>
          <w:sz w:val="24"/>
          <w:szCs w:val="24"/>
        </w:rPr>
      </w:pPr>
    </w:p>
    <w:p w:rsidR="00525D99" w:rsidRDefault="00D3659E" w:rsidP="002E1B34">
      <w:pPr>
        <w:spacing w:after="0" w:line="240" w:lineRule="atLeast"/>
        <w:ind w:left="567" w:right="261"/>
        <w:jc w:val="both"/>
        <w:rPr>
          <w:rFonts w:ascii="Times New Roman" w:hAnsi="Times New Roman"/>
          <w:b/>
          <w:sz w:val="24"/>
          <w:szCs w:val="24"/>
        </w:rPr>
      </w:pPr>
      <w:r>
        <w:rPr>
          <w:rFonts w:ascii="Times New Roman" w:hAnsi="Times New Roman"/>
          <w:b/>
          <w:sz w:val="24"/>
          <w:szCs w:val="24"/>
        </w:rPr>
        <w:t>D</w:t>
      </w:r>
      <w:r w:rsidR="00525D99">
        <w:rPr>
          <w:rFonts w:ascii="Times New Roman" w:hAnsi="Times New Roman"/>
          <w:b/>
          <w:sz w:val="24"/>
          <w:szCs w:val="24"/>
        </w:rPr>
        <w:t>ébitos de IPTU –</w:t>
      </w:r>
      <w:r w:rsidR="002E1B34">
        <w:rPr>
          <w:rFonts w:ascii="Times New Roman" w:hAnsi="Times New Roman"/>
          <w:b/>
          <w:sz w:val="24"/>
          <w:szCs w:val="24"/>
        </w:rPr>
        <w:t xml:space="preserve"> </w:t>
      </w:r>
      <w:r w:rsidR="002E1B34">
        <w:t>possui débito tributário que perfaz o montante de R$ 25.591,91</w:t>
      </w:r>
      <w:r>
        <w:t xml:space="preserve"> em 08/2025</w:t>
      </w:r>
    </w:p>
    <w:p w:rsidR="00525D99" w:rsidRPr="00DE2F37" w:rsidRDefault="00525D99" w:rsidP="00AA47CA">
      <w:pPr>
        <w:spacing w:after="0" w:line="240" w:lineRule="atLeast"/>
        <w:ind w:left="567" w:right="261"/>
        <w:jc w:val="both"/>
        <w:rPr>
          <w:rFonts w:ascii="Times New Roman" w:hAnsi="Times New Roman"/>
          <w:b/>
          <w:sz w:val="24"/>
          <w:szCs w:val="24"/>
        </w:rPr>
      </w:pPr>
    </w:p>
    <w:p w:rsidR="00404CCC" w:rsidRDefault="00DE2F37" w:rsidP="00AA47CA">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 xml:space="preserve">AVALIAÇÃO IMÓVEL -  APARTAMENTO </w:t>
      </w:r>
      <w:r w:rsidR="00404CCC" w:rsidRPr="00DE2F37">
        <w:rPr>
          <w:rFonts w:ascii="Times New Roman" w:hAnsi="Times New Roman"/>
          <w:b/>
          <w:sz w:val="24"/>
          <w:szCs w:val="24"/>
        </w:rPr>
        <w:t>– R$ 324.800,00 (</w:t>
      </w:r>
      <w:r w:rsidR="00404CCC" w:rsidRPr="00DE2F37">
        <w:rPr>
          <w:rFonts w:ascii="Times New Roman" w:hAnsi="Times New Roman"/>
          <w:sz w:val="24"/>
          <w:szCs w:val="24"/>
        </w:rPr>
        <w:t>Trezentos e Vinte e Quatro Mil e Oit</w:t>
      </w:r>
      <w:r w:rsidR="0072073A">
        <w:rPr>
          <w:rFonts w:ascii="Times New Roman" w:hAnsi="Times New Roman"/>
          <w:sz w:val="24"/>
          <w:szCs w:val="24"/>
        </w:rPr>
        <w:t xml:space="preserve">ocentos Reais) em julho de 2024 </w:t>
      </w:r>
      <w:r w:rsidR="00951376">
        <w:rPr>
          <w:rFonts w:ascii="Times New Roman" w:hAnsi="Times New Roman"/>
          <w:sz w:val="24"/>
          <w:szCs w:val="24"/>
        </w:rPr>
        <w:t>/ fls. 619</w:t>
      </w:r>
      <w:r w:rsidR="00404CCC" w:rsidRPr="00DE2F37">
        <w:rPr>
          <w:rFonts w:ascii="Times New Roman" w:hAnsi="Times New Roman"/>
          <w:sz w:val="24"/>
          <w:szCs w:val="24"/>
        </w:rPr>
        <w:t xml:space="preserve"> que será atualizado à época do leilão.</w:t>
      </w:r>
    </w:p>
    <w:p w:rsidR="00A140FB" w:rsidRPr="00DE2F37" w:rsidRDefault="00A140FB" w:rsidP="00AA47CA">
      <w:pPr>
        <w:spacing w:after="0" w:line="240" w:lineRule="atLeast"/>
        <w:ind w:left="567" w:right="261"/>
        <w:jc w:val="both"/>
        <w:rPr>
          <w:rFonts w:ascii="Times New Roman" w:hAnsi="Times New Roman"/>
          <w:b/>
          <w:sz w:val="24"/>
          <w:szCs w:val="24"/>
        </w:rPr>
      </w:pPr>
    </w:p>
    <w:p w:rsidR="000F573D" w:rsidRPr="00DE2F37" w:rsidRDefault="000F573D" w:rsidP="000F573D">
      <w:pPr>
        <w:spacing w:after="0" w:line="240" w:lineRule="atLeast"/>
        <w:ind w:left="567" w:right="261"/>
        <w:jc w:val="both"/>
        <w:rPr>
          <w:rFonts w:ascii="Times New Roman" w:hAnsi="Times New Roman"/>
          <w:sz w:val="24"/>
          <w:szCs w:val="24"/>
        </w:rPr>
      </w:pPr>
      <w:r w:rsidRPr="002E1B34">
        <w:rPr>
          <w:rFonts w:ascii="Times New Roman" w:hAnsi="Times New Roman"/>
          <w:b/>
          <w:sz w:val="24"/>
          <w:szCs w:val="24"/>
          <w:u w:val="single"/>
        </w:rPr>
        <w:t>DO IMÓVEL</w:t>
      </w:r>
      <w:r w:rsidRPr="002E1B34">
        <w:rPr>
          <w:rFonts w:ascii="Times New Roman" w:hAnsi="Times New Roman"/>
          <w:sz w:val="24"/>
          <w:szCs w:val="24"/>
          <w:u w:val="single"/>
        </w:rPr>
        <w:t xml:space="preserve"> </w:t>
      </w:r>
      <w:r w:rsidR="00A140FB" w:rsidRPr="002E1B34">
        <w:rPr>
          <w:rFonts w:ascii="Times New Roman" w:hAnsi="Times New Roman"/>
          <w:sz w:val="24"/>
          <w:szCs w:val="24"/>
          <w:u w:val="single"/>
        </w:rPr>
        <w:t>II</w:t>
      </w:r>
      <w:r w:rsidR="00A140FB" w:rsidRPr="00DE2F37">
        <w:rPr>
          <w:rFonts w:ascii="Times New Roman" w:hAnsi="Times New Roman"/>
          <w:sz w:val="24"/>
          <w:szCs w:val="24"/>
        </w:rPr>
        <w:t xml:space="preserve"> </w:t>
      </w:r>
      <w:r w:rsidRPr="00DE2F37">
        <w:rPr>
          <w:rFonts w:ascii="Times New Roman" w:hAnsi="Times New Roman"/>
          <w:sz w:val="24"/>
          <w:szCs w:val="24"/>
        </w:rPr>
        <w:t>–</w:t>
      </w:r>
      <w:r w:rsidR="009D1383" w:rsidRPr="00DE2F37">
        <w:rPr>
          <w:rFonts w:ascii="Times New Roman" w:hAnsi="Times New Roman"/>
          <w:sz w:val="24"/>
          <w:szCs w:val="24"/>
        </w:rPr>
        <w:t xml:space="preserve"> A </w:t>
      </w:r>
      <w:r w:rsidR="009D1383" w:rsidRPr="00F322F2">
        <w:rPr>
          <w:rFonts w:ascii="Times New Roman" w:hAnsi="Times New Roman"/>
          <w:b/>
          <w:sz w:val="24"/>
          <w:szCs w:val="24"/>
        </w:rPr>
        <w:t>VAGA DE GARAGEM MÉDIA</w:t>
      </w:r>
      <w:r w:rsidR="009D1383" w:rsidRPr="00DE2F37">
        <w:rPr>
          <w:rFonts w:ascii="Times New Roman" w:hAnsi="Times New Roman"/>
          <w:sz w:val="24"/>
          <w:szCs w:val="24"/>
        </w:rPr>
        <w:t xml:space="preserve"> (coberta) n° 22, localizada no 2° subsolo do empreendimento denominado CONDOMÍNIO RESIDENCIAL ILE DE FRANCE, situado à rua Antero de Quental, n° 200, na Vila Santa Clara, 26' SUBDISTRITO- VILA PRUDENTE, com a área útil de 10,34m2, a área comum coberta de 0,8902, a área comum descoberta de 1,92m2, encerrando a área construída de 13,15m2 e cabendo-lhe a fração ideal de 0,073200%. Vaga essa, para estacionamento e </w:t>
      </w:r>
      <w:r w:rsidR="00F322F2" w:rsidRPr="00DE2F37">
        <w:rPr>
          <w:rFonts w:ascii="Times New Roman" w:hAnsi="Times New Roman"/>
          <w:sz w:val="24"/>
          <w:szCs w:val="24"/>
        </w:rPr>
        <w:t>guarda de</w:t>
      </w:r>
      <w:r w:rsidR="009D1383" w:rsidRPr="00DE2F37">
        <w:rPr>
          <w:rFonts w:ascii="Times New Roman" w:hAnsi="Times New Roman"/>
          <w:sz w:val="24"/>
          <w:szCs w:val="24"/>
        </w:rPr>
        <w:t xml:space="preserve"> um veículo de passeio pequeno ou médio, sujeito a manobrista. O terreno resultante dos lotes 07, 08, 09, 10 e 11, da quadra D, onde se acha construido o referido empreendimento, encerra a área de 1.722,00m2</w:t>
      </w:r>
      <w:r w:rsidRPr="00DE2F37">
        <w:rPr>
          <w:rFonts w:ascii="Times New Roman" w:hAnsi="Times New Roman"/>
          <w:sz w:val="24"/>
          <w:szCs w:val="24"/>
        </w:rPr>
        <w:t>.</w:t>
      </w:r>
    </w:p>
    <w:p w:rsidR="000F573D" w:rsidRDefault="000F573D" w:rsidP="000F573D">
      <w:pPr>
        <w:spacing w:after="0" w:line="240" w:lineRule="atLeast"/>
        <w:ind w:left="567" w:right="261"/>
        <w:jc w:val="both"/>
        <w:rPr>
          <w:rFonts w:ascii="Times New Roman" w:hAnsi="Times New Roman"/>
          <w:b/>
          <w:sz w:val="24"/>
          <w:szCs w:val="24"/>
        </w:rPr>
      </w:pPr>
      <w:r w:rsidRPr="00DE2F37">
        <w:rPr>
          <w:rFonts w:ascii="Times New Roman" w:hAnsi="Times New Roman"/>
          <w:b/>
          <w:sz w:val="24"/>
          <w:szCs w:val="24"/>
        </w:rPr>
        <w:t xml:space="preserve">Matrícula </w:t>
      </w:r>
      <w:r w:rsidR="008B5CF4" w:rsidRPr="00DE2F37">
        <w:rPr>
          <w:rFonts w:ascii="Times New Roman" w:hAnsi="Times New Roman"/>
          <w:b/>
          <w:sz w:val="24"/>
          <w:szCs w:val="24"/>
        </w:rPr>
        <w:t>1125.916</w:t>
      </w:r>
    </w:p>
    <w:p w:rsidR="00DB0A4B" w:rsidRDefault="002E1B34" w:rsidP="000F573D">
      <w:pPr>
        <w:spacing w:after="0" w:line="240" w:lineRule="atLeast"/>
        <w:ind w:left="567" w:right="261"/>
        <w:jc w:val="both"/>
      </w:pPr>
      <w:r>
        <w:rPr>
          <w:rFonts w:ascii="Times New Roman" w:hAnsi="Times New Roman"/>
          <w:b/>
          <w:sz w:val="24"/>
          <w:szCs w:val="24"/>
        </w:rPr>
        <w:t xml:space="preserve">Contribuinte </w:t>
      </w:r>
      <w:r w:rsidRPr="002E1B34">
        <w:rPr>
          <w:b/>
        </w:rPr>
        <w:t>102.032.0211-1</w:t>
      </w:r>
      <w:r>
        <w:t xml:space="preserve"> </w:t>
      </w:r>
    </w:p>
    <w:p w:rsidR="002E1B34" w:rsidRPr="00DE2F37" w:rsidRDefault="002E1B34" w:rsidP="000F573D">
      <w:pPr>
        <w:spacing w:after="0" w:line="240" w:lineRule="atLeast"/>
        <w:ind w:left="567" w:right="261"/>
        <w:jc w:val="both"/>
        <w:rPr>
          <w:rFonts w:ascii="Times New Roman" w:hAnsi="Times New Roman"/>
          <w:sz w:val="24"/>
          <w:szCs w:val="24"/>
        </w:rPr>
      </w:pPr>
    </w:p>
    <w:p w:rsidR="00DB0A4B" w:rsidRPr="00DE2F37" w:rsidRDefault="00DB0A4B" w:rsidP="00DB0A4B">
      <w:pPr>
        <w:spacing w:after="0" w:line="240" w:lineRule="atLeast"/>
        <w:ind w:left="567" w:right="261"/>
        <w:jc w:val="both"/>
        <w:rPr>
          <w:rFonts w:ascii="Times New Roman" w:hAnsi="Times New Roman"/>
          <w:b/>
          <w:sz w:val="24"/>
          <w:szCs w:val="24"/>
        </w:rPr>
      </w:pPr>
      <w:r w:rsidRPr="00DE2F37">
        <w:rPr>
          <w:rFonts w:ascii="Times New Roman" w:hAnsi="Times New Roman"/>
          <w:b/>
          <w:sz w:val="24"/>
          <w:szCs w:val="24"/>
        </w:rPr>
        <w:t xml:space="preserve">DO ÔNUS </w:t>
      </w:r>
    </w:p>
    <w:p w:rsidR="005E29CA" w:rsidRPr="00DE2F37" w:rsidRDefault="005E29CA" w:rsidP="00DB0A4B">
      <w:pPr>
        <w:spacing w:after="0" w:line="240" w:lineRule="atLeast"/>
        <w:ind w:left="567" w:right="261"/>
        <w:jc w:val="both"/>
        <w:rPr>
          <w:rFonts w:ascii="Times New Roman" w:hAnsi="Times New Roman"/>
          <w:sz w:val="24"/>
          <w:szCs w:val="24"/>
        </w:rPr>
      </w:pPr>
    </w:p>
    <w:p w:rsidR="005E29CA" w:rsidRDefault="005E29CA" w:rsidP="00DB0A4B">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 xml:space="preserve">R.04/M.125.916   Pelo mesmo instrumento particular mencionado na Av.02 desta matricula, LUIZ WAGNER RUSSO e sua mulher ELISABETE FERES GUERRERO RUSSO, já qualificados, deram em HIPOTECA, o </w:t>
      </w:r>
      <w:r w:rsidR="000265D0">
        <w:rPr>
          <w:rFonts w:ascii="Times New Roman" w:hAnsi="Times New Roman"/>
          <w:sz w:val="24"/>
          <w:szCs w:val="24"/>
        </w:rPr>
        <w:t>imóvel</w:t>
      </w:r>
      <w:r w:rsidRPr="00DE2F37">
        <w:rPr>
          <w:rFonts w:ascii="Times New Roman" w:hAnsi="Times New Roman"/>
          <w:sz w:val="24"/>
          <w:szCs w:val="24"/>
        </w:rPr>
        <w:t xml:space="preserve"> objeto desta e o da </w:t>
      </w:r>
      <w:r w:rsidR="000265D0" w:rsidRPr="00DE2F37">
        <w:rPr>
          <w:rFonts w:ascii="Times New Roman" w:hAnsi="Times New Roman"/>
          <w:sz w:val="24"/>
          <w:szCs w:val="24"/>
        </w:rPr>
        <w:t>matricula:</w:t>
      </w:r>
      <w:r w:rsidRPr="00DE2F37">
        <w:rPr>
          <w:rFonts w:ascii="Times New Roman" w:hAnsi="Times New Roman"/>
          <w:sz w:val="24"/>
          <w:szCs w:val="24"/>
        </w:rPr>
        <w:t xml:space="preserve"> nº 125.781, ao BANCO DE CREDITO REAL DE MINAS GERAIS S/A</w:t>
      </w:r>
    </w:p>
    <w:p w:rsidR="000265D0" w:rsidRPr="00DE2F37" w:rsidRDefault="000265D0" w:rsidP="00DB0A4B">
      <w:pPr>
        <w:spacing w:after="0" w:line="240" w:lineRule="atLeast"/>
        <w:ind w:left="567" w:right="261"/>
        <w:jc w:val="both"/>
        <w:rPr>
          <w:rFonts w:ascii="Times New Roman" w:hAnsi="Times New Roman"/>
          <w:sz w:val="24"/>
          <w:szCs w:val="24"/>
        </w:rPr>
      </w:pPr>
    </w:p>
    <w:p w:rsidR="008B5CF4" w:rsidRPr="00DE2F37" w:rsidRDefault="008B5CF4" w:rsidP="00DB0A4B">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Av. 05/M.125.916  em 04 de outubro de 1.995.</w:t>
      </w:r>
    </w:p>
    <w:p w:rsidR="008B5CF4" w:rsidRPr="00DE2F37" w:rsidRDefault="008B5CF4" w:rsidP="00DB0A4B">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Foi emitida em 27 de setembro de 1.995, a Cédula Hipotecária Integral – nº 11.001082.0995-8, Série A, pelo BANCO DE CRED</w:t>
      </w:r>
      <w:r w:rsidR="000265D0">
        <w:rPr>
          <w:rFonts w:ascii="Times New Roman" w:hAnsi="Times New Roman"/>
          <w:sz w:val="24"/>
          <w:szCs w:val="24"/>
        </w:rPr>
        <w:t>ITO REAL DE MINAS GERAIS S/A, já</w:t>
      </w:r>
      <w:r w:rsidRPr="00DE2F37">
        <w:rPr>
          <w:rFonts w:ascii="Times New Roman" w:hAnsi="Times New Roman"/>
          <w:sz w:val="24"/>
          <w:szCs w:val="24"/>
        </w:rPr>
        <w:t xml:space="preserve"> qualificado, em que figuram como devedores, LUIZ WAGNER RUSSO e sua mulher ELISABETE PERES GUERREEI) RUSS</w:t>
      </w:r>
      <w:r w:rsidR="000265D0">
        <w:rPr>
          <w:rFonts w:ascii="Times New Roman" w:hAnsi="Times New Roman"/>
          <w:sz w:val="24"/>
          <w:szCs w:val="24"/>
        </w:rPr>
        <w:t>O, já qualificados, e como favo</w:t>
      </w:r>
      <w:r w:rsidRPr="00DE2F37">
        <w:rPr>
          <w:rFonts w:ascii="Times New Roman" w:hAnsi="Times New Roman"/>
          <w:sz w:val="24"/>
          <w:szCs w:val="24"/>
        </w:rPr>
        <w:t>recido o mesmo emitentente.</w:t>
      </w:r>
    </w:p>
    <w:p w:rsidR="008B5CF4" w:rsidRPr="00DE2F37" w:rsidRDefault="008B5CF4" w:rsidP="00DB0A4B">
      <w:pPr>
        <w:spacing w:after="0" w:line="240" w:lineRule="atLeast"/>
        <w:ind w:left="567" w:right="261"/>
        <w:jc w:val="both"/>
        <w:rPr>
          <w:rFonts w:ascii="Times New Roman" w:hAnsi="Times New Roman"/>
          <w:sz w:val="24"/>
          <w:szCs w:val="24"/>
        </w:rPr>
      </w:pPr>
    </w:p>
    <w:p w:rsidR="008B5CF4" w:rsidRPr="00DE2F37" w:rsidRDefault="008B5CF4" w:rsidP="00DB0A4B">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Av.6/M.125.916 em 10 de setembro de 1.999</w:t>
      </w:r>
    </w:p>
    <w:p w:rsidR="008B5CF4" w:rsidRPr="00DE2F37" w:rsidRDefault="008B5CF4" w:rsidP="00DB0A4B">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Pelo campo 7.1 d</w:t>
      </w:r>
      <w:r w:rsidR="000265D0">
        <w:rPr>
          <w:rFonts w:ascii="Times New Roman" w:hAnsi="Times New Roman"/>
          <w:sz w:val="24"/>
          <w:szCs w:val="24"/>
        </w:rPr>
        <w:t>a Cédula Hipotecária Integral nº</w:t>
      </w:r>
      <w:r w:rsidRPr="00DE2F37">
        <w:rPr>
          <w:rFonts w:ascii="Times New Roman" w:hAnsi="Times New Roman"/>
          <w:sz w:val="24"/>
          <w:szCs w:val="24"/>
        </w:rPr>
        <w:t xml:space="preserve"> 11.001082.09.95-8, Série "A", completado com requerimento datado de 03 de junho de 1.998, o BANCO DE CRÉDITO REAL DE MINAS GERAIS </w:t>
      </w:r>
      <w:r w:rsidRPr="00DE2F37">
        <w:rPr>
          <w:rFonts w:ascii="Times New Roman" w:hAnsi="Times New Roman"/>
          <w:sz w:val="24"/>
          <w:szCs w:val="24"/>
        </w:rPr>
        <w:lastRenderedPageBreak/>
        <w:t>S/A., já qualificado, CEDEU por ENDOSSO ao BANCO DE DESENVOLVIMENTO DE MINAS GERAIS. S/A – BMG</w:t>
      </w:r>
    </w:p>
    <w:p w:rsidR="008B5CF4" w:rsidRPr="00DE2F37" w:rsidRDefault="008B5CF4" w:rsidP="00DB0A4B">
      <w:pPr>
        <w:spacing w:after="0" w:line="240" w:lineRule="atLeast"/>
        <w:ind w:left="567" w:right="261"/>
        <w:jc w:val="both"/>
        <w:rPr>
          <w:rFonts w:ascii="Times New Roman" w:hAnsi="Times New Roman"/>
          <w:sz w:val="24"/>
          <w:szCs w:val="24"/>
        </w:rPr>
      </w:pPr>
    </w:p>
    <w:p w:rsidR="008B5CF4" w:rsidRPr="00DE2F37" w:rsidRDefault="008B5CF4" w:rsidP="00DB0A4B">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 xml:space="preserve">Av.7/M.125.916 em 14 de setembro de 1.999 Do instrumento particular </w:t>
      </w:r>
      <w:r w:rsidR="000265D0" w:rsidRPr="00DE2F37">
        <w:rPr>
          <w:rFonts w:ascii="Times New Roman" w:hAnsi="Times New Roman"/>
          <w:sz w:val="24"/>
          <w:szCs w:val="24"/>
        </w:rPr>
        <w:t>datado</w:t>
      </w:r>
      <w:r w:rsidRPr="00DE2F37">
        <w:rPr>
          <w:rFonts w:ascii="Times New Roman" w:hAnsi="Times New Roman"/>
          <w:sz w:val="24"/>
          <w:szCs w:val="24"/>
        </w:rPr>
        <w:t xml:space="preserve"> de 12 de agosto de 1.997, reg</w:t>
      </w:r>
      <w:r w:rsidR="000265D0">
        <w:rPr>
          <w:rFonts w:ascii="Times New Roman" w:hAnsi="Times New Roman"/>
          <w:sz w:val="24"/>
          <w:szCs w:val="24"/>
        </w:rPr>
        <w:t>istrado sob nº</w:t>
      </w:r>
      <w:r w:rsidRPr="00DE2F37">
        <w:rPr>
          <w:rFonts w:ascii="Times New Roman" w:hAnsi="Times New Roman"/>
          <w:sz w:val="24"/>
          <w:szCs w:val="24"/>
        </w:rPr>
        <w:t xml:space="preserve"> 580788, em 14 de novembro de 1.997, pelo 24 Oficial de Registro de </w:t>
      </w:r>
      <w:r w:rsidR="000265D0" w:rsidRPr="00DE2F37">
        <w:rPr>
          <w:rFonts w:ascii="Times New Roman" w:hAnsi="Times New Roman"/>
          <w:sz w:val="24"/>
          <w:szCs w:val="24"/>
        </w:rPr>
        <w:t>Título</w:t>
      </w:r>
      <w:r w:rsidRPr="00DE2F37">
        <w:rPr>
          <w:rFonts w:ascii="Times New Roman" w:hAnsi="Times New Roman"/>
          <w:sz w:val="24"/>
          <w:szCs w:val="24"/>
        </w:rPr>
        <w:t xml:space="preserve"> e Documentos da comarca de Belo Horizonte, Estado de Minas Gerais, e do mesmo requerimento mencionado na Av.06 desta matricula, o BANCO DE CRÉDITO REAL DE MINAS GERAIS S/A., já qualificado, CEDEU E TRANSFERI</w:t>
      </w:r>
      <w:r w:rsidR="000265D0">
        <w:rPr>
          <w:rFonts w:ascii="Times New Roman" w:hAnsi="Times New Roman"/>
          <w:sz w:val="24"/>
          <w:szCs w:val="24"/>
        </w:rPr>
        <w:t xml:space="preserve">U </w:t>
      </w:r>
      <w:r w:rsidR="000265D0">
        <w:t>ao BANCO DE DESENVOLVIMENTO DE MINAS GERAIS S/A.- BDMG</w:t>
      </w:r>
    </w:p>
    <w:p w:rsidR="008B5CF4" w:rsidRPr="00DE2F37" w:rsidRDefault="008B5CF4" w:rsidP="00DB0A4B">
      <w:pPr>
        <w:spacing w:after="0" w:line="240" w:lineRule="atLeast"/>
        <w:ind w:left="567" w:right="261"/>
        <w:jc w:val="both"/>
        <w:rPr>
          <w:rFonts w:ascii="Times New Roman" w:hAnsi="Times New Roman"/>
          <w:sz w:val="24"/>
          <w:szCs w:val="24"/>
        </w:rPr>
      </w:pPr>
    </w:p>
    <w:p w:rsidR="008B5CF4" w:rsidRDefault="008B5CF4" w:rsidP="00DB0A4B">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AV-8/M.125.916 em 24 de janeiro de 2.000 ACC É feita e</w:t>
      </w:r>
      <w:r w:rsidR="000265D0">
        <w:rPr>
          <w:rFonts w:ascii="Times New Roman" w:hAnsi="Times New Roman"/>
          <w:sz w:val="24"/>
          <w:szCs w:val="24"/>
        </w:rPr>
        <w:t>sta averbação nos termos do § 1º, do art. 213, da Lei nº</w:t>
      </w:r>
      <w:r w:rsidRPr="00DE2F37">
        <w:rPr>
          <w:rFonts w:ascii="Times New Roman" w:hAnsi="Times New Roman"/>
          <w:sz w:val="24"/>
          <w:szCs w:val="24"/>
        </w:rPr>
        <w:t xml:space="preserve"> 6.015/73 para constar que a redação correta da AV-07 desta matricula é a seguinte: "Do contrato de liquidação de débitos com terceiro contra pagamento, entre o Estado de Minas Gerais e o Banco de Desenvolvimento de Minas Gerais S.A. - BDMG, datado de 24 de junho de 1.998, e nos termos do campo 7.1 da Cé</w:t>
      </w:r>
      <w:r w:rsidR="000265D0">
        <w:rPr>
          <w:rFonts w:ascii="Times New Roman" w:hAnsi="Times New Roman"/>
          <w:sz w:val="24"/>
          <w:szCs w:val="24"/>
        </w:rPr>
        <w:t>dula Hipotecária averbada sob nº</w:t>
      </w:r>
      <w:r w:rsidRPr="00DE2F37">
        <w:rPr>
          <w:rFonts w:ascii="Times New Roman" w:hAnsi="Times New Roman"/>
          <w:sz w:val="24"/>
          <w:szCs w:val="24"/>
        </w:rPr>
        <w:t xml:space="preserve"> 05 nesta, datado de 19 de agosto de 1.998, o </w:t>
      </w:r>
      <w:r w:rsidRPr="00262F1A">
        <w:rPr>
          <w:rFonts w:ascii="Times New Roman" w:hAnsi="Times New Roman"/>
          <w:sz w:val="24"/>
          <w:szCs w:val="24"/>
        </w:rPr>
        <w:t>BANCO DE DESENVOLVIMENTO DE MINAS GERAIS S/A - BDMG,</w:t>
      </w:r>
      <w:r w:rsidRPr="00DE2F37">
        <w:rPr>
          <w:rFonts w:ascii="Times New Roman" w:hAnsi="Times New Roman"/>
          <w:sz w:val="24"/>
          <w:szCs w:val="24"/>
        </w:rPr>
        <w:t xml:space="preserve"> já qualificado (cessionário pela AM-06), CEDEU E TRANSFER</w:t>
      </w:r>
      <w:r w:rsidR="00234B56">
        <w:rPr>
          <w:rFonts w:ascii="Times New Roman" w:hAnsi="Times New Roman"/>
          <w:sz w:val="24"/>
          <w:szCs w:val="24"/>
        </w:rPr>
        <w:t>IU</w:t>
      </w:r>
      <w:r w:rsidR="00234B56">
        <w:t xml:space="preserve"> a título de dação em pagamento ao ESTADO DE MINAS GERAIS</w:t>
      </w:r>
    </w:p>
    <w:p w:rsidR="002E1B34" w:rsidRDefault="002E1B34" w:rsidP="00DB0A4B">
      <w:pPr>
        <w:spacing w:after="0" w:line="240" w:lineRule="atLeast"/>
        <w:ind w:left="567" w:right="261"/>
        <w:jc w:val="both"/>
        <w:rPr>
          <w:rFonts w:ascii="Times New Roman" w:hAnsi="Times New Roman"/>
          <w:sz w:val="24"/>
          <w:szCs w:val="24"/>
        </w:rPr>
      </w:pPr>
    </w:p>
    <w:p w:rsidR="002E1B34" w:rsidRPr="00DE2F37" w:rsidRDefault="00D3659E" w:rsidP="002E1B34">
      <w:pPr>
        <w:spacing w:after="0" w:line="240" w:lineRule="atLeast"/>
        <w:ind w:left="567" w:right="261"/>
        <w:jc w:val="both"/>
        <w:rPr>
          <w:rFonts w:ascii="Times New Roman" w:hAnsi="Times New Roman"/>
          <w:sz w:val="24"/>
          <w:szCs w:val="24"/>
        </w:rPr>
      </w:pPr>
      <w:r>
        <w:rPr>
          <w:rFonts w:ascii="Times New Roman" w:hAnsi="Times New Roman"/>
          <w:b/>
          <w:sz w:val="24"/>
          <w:szCs w:val="24"/>
        </w:rPr>
        <w:t>D</w:t>
      </w:r>
      <w:r w:rsidR="002E1B34">
        <w:rPr>
          <w:rFonts w:ascii="Times New Roman" w:hAnsi="Times New Roman"/>
          <w:b/>
          <w:sz w:val="24"/>
          <w:szCs w:val="24"/>
        </w:rPr>
        <w:t xml:space="preserve">ébitos de IPTU – </w:t>
      </w:r>
      <w:r w:rsidR="002E1B34">
        <w:t>possui débito tributário que perfaz o montante R$5.225,25</w:t>
      </w:r>
      <w:r>
        <w:t xml:space="preserve"> em 08/2025</w:t>
      </w:r>
    </w:p>
    <w:p w:rsidR="00404CCC" w:rsidRPr="00DE2F37" w:rsidRDefault="00404CCC" w:rsidP="00DB0A4B">
      <w:pPr>
        <w:spacing w:after="0" w:line="240" w:lineRule="atLeast"/>
        <w:ind w:left="567" w:right="261"/>
        <w:jc w:val="both"/>
        <w:rPr>
          <w:rFonts w:ascii="Times New Roman" w:hAnsi="Times New Roman"/>
          <w:sz w:val="24"/>
          <w:szCs w:val="24"/>
        </w:rPr>
      </w:pPr>
    </w:p>
    <w:p w:rsidR="00DB0A4B" w:rsidRPr="00DE2F37" w:rsidRDefault="007A1318" w:rsidP="00404CCC">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 xml:space="preserve">AVALIAÇÃO IMÓVEL </w:t>
      </w:r>
      <w:r w:rsidR="00404CCC" w:rsidRPr="00DE2F37">
        <w:rPr>
          <w:rFonts w:ascii="Times New Roman" w:hAnsi="Times New Roman"/>
          <w:b/>
          <w:sz w:val="24"/>
          <w:szCs w:val="24"/>
        </w:rPr>
        <w:t xml:space="preserve">II </w:t>
      </w:r>
      <w:r w:rsidRPr="00DE2F37">
        <w:rPr>
          <w:rFonts w:ascii="Times New Roman" w:hAnsi="Times New Roman"/>
          <w:b/>
          <w:sz w:val="24"/>
          <w:szCs w:val="24"/>
        </w:rPr>
        <w:t>VAGA DE GARAG</w:t>
      </w:r>
      <w:r w:rsidR="00F322F2">
        <w:rPr>
          <w:rFonts w:ascii="Times New Roman" w:hAnsi="Times New Roman"/>
          <w:b/>
          <w:sz w:val="24"/>
          <w:szCs w:val="24"/>
        </w:rPr>
        <w:t xml:space="preserve">EM </w:t>
      </w:r>
      <w:r w:rsidR="00234B56">
        <w:rPr>
          <w:rFonts w:ascii="Times New Roman" w:hAnsi="Times New Roman"/>
          <w:b/>
          <w:sz w:val="24"/>
          <w:szCs w:val="24"/>
        </w:rPr>
        <w:t xml:space="preserve">- </w:t>
      </w:r>
      <w:r w:rsidR="00404CCC" w:rsidRPr="00DE2F37">
        <w:rPr>
          <w:rFonts w:ascii="Times New Roman" w:hAnsi="Times New Roman"/>
          <w:b/>
          <w:sz w:val="24"/>
          <w:szCs w:val="24"/>
        </w:rPr>
        <w:t xml:space="preserve">R$ 31.900,00 </w:t>
      </w:r>
      <w:r w:rsidR="00F322F2">
        <w:rPr>
          <w:rFonts w:ascii="Times New Roman" w:hAnsi="Times New Roman"/>
          <w:sz w:val="24"/>
          <w:szCs w:val="24"/>
        </w:rPr>
        <w:t>(</w:t>
      </w:r>
      <w:r w:rsidR="00404CCC" w:rsidRPr="00DE2F37">
        <w:rPr>
          <w:rFonts w:ascii="Times New Roman" w:hAnsi="Times New Roman"/>
          <w:sz w:val="24"/>
          <w:szCs w:val="24"/>
        </w:rPr>
        <w:t>Tri</w:t>
      </w:r>
      <w:r w:rsidR="00F322F2">
        <w:rPr>
          <w:rFonts w:ascii="Times New Roman" w:hAnsi="Times New Roman"/>
          <w:sz w:val="24"/>
          <w:szCs w:val="24"/>
        </w:rPr>
        <w:t>nta e Um Mil e Novecentos Reais</w:t>
      </w:r>
      <w:r w:rsidR="00404CCC" w:rsidRPr="00DE2F37">
        <w:rPr>
          <w:rFonts w:ascii="Times New Roman" w:hAnsi="Times New Roman"/>
          <w:sz w:val="24"/>
          <w:szCs w:val="24"/>
        </w:rPr>
        <w:t xml:space="preserve">) em julho de 2024, </w:t>
      </w:r>
      <w:r w:rsidR="00951376">
        <w:rPr>
          <w:rFonts w:ascii="Times New Roman" w:hAnsi="Times New Roman"/>
          <w:sz w:val="24"/>
          <w:szCs w:val="24"/>
        </w:rPr>
        <w:t xml:space="preserve">/ </w:t>
      </w:r>
      <w:r w:rsidR="00951376" w:rsidRPr="00514D93">
        <w:rPr>
          <w:rFonts w:ascii="Times New Roman" w:hAnsi="Times New Roman"/>
          <w:b/>
          <w:sz w:val="24"/>
          <w:szCs w:val="24"/>
        </w:rPr>
        <w:t>fls. 619</w:t>
      </w:r>
      <w:r w:rsidR="00514D93">
        <w:rPr>
          <w:rFonts w:ascii="Times New Roman" w:hAnsi="Times New Roman"/>
          <w:sz w:val="24"/>
          <w:szCs w:val="24"/>
        </w:rPr>
        <w:t xml:space="preserve">, </w:t>
      </w:r>
      <w:r w:rsidR="00404CCC" w:rsidRPr="00DE2F37">
        <w:rPr>
          <w:rFonts w:ascii="Times New Roman" w:hAnsi="Times New Roman"/>
          <w:sz w:val="24"/>
          <w:szCs w:val="24"/>
        </w:rPr>
        <w:t>que será atualizado à época do leilão.</w:t>
      </w:r>
    </w:p>
    <w:p w:rsidR="00404CCC" w:rsidRPr="00DE2F37" w:rsidRDefault="00404CCC" w:rsidP="00404CCC">
      <w:pPr>
        <w:spacing w:after="0" w:line="240" w:lineRule="atLeast"/>
        <w:ind w:left="567" w:right="261"/>
        <w:jc w:val="both"/>
        <w:rPr>
          <w:rFonts w:ascii="Times New Roman" w:hAnsi="Times New Roman"/>
          <w:sz w:val="24"/>
          <w:szCs w:val="24"/>
        </w:rPr>
      </w:pPr>
    </w:p>
    <w:p w:rsidR="007A1318" w:rsidRPr="00DE2F37" w:rsidRDefault="00D3659E" w:rsidP="007A1318">
      <w:pPr>
        <w:spacing w:after="0" w:line="240" w:lineRule="atLeast"/>
        <w:ind w:left="567" w:right="261"/>
        <w:jc w:val="both"/>
        <w:rPr>
          <w:rFonts w:ascii="Times New Roman" w:hAnsi="Times New Roman"/>
          <w:sz w:val="24"/>
          <w:szCs w:val="24"/>
        </w:rPr>
      </w:pPr>
      <w:r>
        <w:rPr>
          <w:b/>
        </w:rPr>
        <w:t>CRÉDITO</w:t>
      </w:r>
      <w:r w:rsidRPr="00D3659E">
        <w:rPr>
          <w:b/>
        </w:rPr>
        <w:t xml:space="preserve"> DO EXEQUENTE</w:t>
      </w:r>
      <w:r w:rsidRPr="00DE2F37">
        <w:rPr>
          <w:rFonts w:ascii="Times New Roman" w:hAnsi="Times New Roman"/>
          <w:b/>
          <w:sz w:val="24"/>
          <w:szCs w:val="24"/>
        </w:rPr>
        <w:t xml:space="preserve"> </w:t>
      </w:r>
      <w:r w:rsidR="007A1318" w:rsidRPr="00DE2F37">
        <w:rPr>
          <w:rFonts w:ascii="Times New Roman" w:hAnsi="Times New Roman"/>
          <w:b/>
          <w:sz w:val="24"/>
          <w:szCs w:val="24"/>
        </w:rPr>
        <w:t xml:space="preserve">- </w:t>
      </w:r>
      <w:r w:rsidR="007A1318" w:rsidRPr="00DE2F37">
        <w:rPr>
          <w:rFonts w:ascii="Times New Roman" w:hAnsi="Times New Roman"/>
          <w:sz w:val="24"/>
          <w:szCs w:val="24"/>
        </w:rPr>
        <w:t xml:space="preserve"> R$ 202.487,87, </w:t>
      </w:r>
      <w:r w:rsidR="007A1318" w:rsidRPr="00514D93">
        <w:rPr>
          <w:rFonts w:ascii="Times New Roman" w:hAnsi="Times New Roman"/>
          <w:b/>
          <w:sz w:val="24"/>
          <w:szCs w:val="24"/>
        </w:rPr>
        <w:t>fls</w:t>
      </w:r>
      <w:r w:rsidR="00F322F2" w:rsidRPr="00514D93">
        <w:rPr>
          <w:rFonts w:ascii="Times New Roman" w:hAnsi="Times New Roman"/>
          <w:b/>
          <w:sz w:val="24"/>
          <w:szCs w:val="24"/>
        </w:rPr>
        <w:t>.327</w:t>
      </w:r>
      <w:r w:rsidR="00F322F2">
        <w:rPr>
          <w:rFonts w:ascii="Times New Roman" w:hAnsi="Times New Roman"/>
          <w:sz w:val="24"/>
          <w:szCs w:val="24"/>
        </w:rPr>
        <w:t xml:space="preserve">, </w:t>
      </w:r>
      <w:r w:rsidR="00F322F2" w:rsidRPr="00DE2F37">
        <w:rPr>
          <w:rFonts w:ascii="Times New Roman" w:hAnsi="Times New Roman"/>
          <w:sz w:val="24"/>
          <w:szCs w:val="24"/>
        </w:rPr>
        <w:t>abril</w:t>
      </w:r>
      <w:r w:rsidR="007A1318" w:rsidRPr="00DE2F37">
        <w:rPr>
          <w:rFonts w:ascii="Times New Roman" w:hAnsi="Times New Roman"/>
          <w:sz w:val="24"/>
          <w:szCs w:val="24"/>
        </w:rPr>
        <w:t xml:space="preserve"> de 2016</w:t>
      </w:r>
    </w:p>
    <w:p w:rsidR="00404CCC" w:rsidRPr="00DE2F37" w:rsidRDefault="00404CCC" w:rsidP="00404CCC">
      <w:pPr>
        <w:spacing w:after="0" w:line="240" w:lineRule="atLeast"/>
        <w:ind w:left="567" w:right="261"/>
        <w:jc w:val="both"/>
        <w:rPr>
          <w:rFonts w:ascii="Times New Roman" w:hAnsi="Times New Roman"/>
          <w:sz w:val="24"/>
          <w:szCs w:val="24"/>
        </w:rPr>
      </w:pPr>
    </w:p>
    <w:p w:rsidR="00404CCC" w:rsidRPr="00DE2F37" w:rsidRDefault="007A1318" w:rsidP="00404CCC">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D</w:t>
      </w:r>
      <w:r w:rsidR="00D3659E">
        <w:rPr>
          <w:rFonts w:ascii="Times New Roman" w:hAnsi="Times New Roman"/>
          <w:b/>
          <w:sz w:val="24"/>
          <w:szCs w:val="24"/>
        </w:rPr>
        <w:t>A AVALIAÇÃO DOS IMÓVEIS I e II</w:t>
      </w:r>
    </w:p>
    <w:p w:rsidR="007A1318" w:rsidRPr="00DE2F37" w:rsidRDefault="007A1318" w:rsidP="00404CCC">
      <w:pPr>
        <w:spacing w:after="0" w:line="240" w:lineRule="atLeast"/>
        <w:ind w:left="567" w:right="261"/>
        <w:jc w:val="both"/>
        <w:rPr>
          <w:rFonts w:ascii="Times New Roman" w:hAnsi="Times New Roman"/>
          <w:sz w:val="24"/>
          <w:szCs w:val="24"/>
        </w:rPr>
      </w:pPr>
    </w:p>
    <w:p w:rsidR="00404CCC" w:rsidRPr="00DE2F37" w:rsidRDefault="007A1318" w:rsidP="00404CCC">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u w:val="single"/>
        </w:rPr>
        <w:t>VALOR TOTAL DOS BENS</w:t>
      </w:r>
      <w:r w:rsidRPr="00DE2F37">
        <w:rPr>
          <w:rFonts w:ascii="Times New Roman" w:hAnsi="Times New Roman"/>
          <w:sz w:val="24"/>
          <w:szCs w:val="24"/>
        </w:rPr>
        <w:t xml:space="preserve"> </w:t>
      </w:r>
      <w:r w:rsidR="00404CCC" w:rsidRPr="00DE2F37">
        <w:rPr>
          <w:rFonts w:ascii="Times New Roman" w:hAnsi="Times New Roman"/>
          <w:sz w:val="24"/>
          <w:szCs w:val="24"/>
        </w:rPr>
        <w:t xml:space="preserve">– </w:t>
      </w:r>
      <w:r w:rsidR="00404CCC" w:rsidRPr="00DE2F37">
        <w:rPr>
          <w:rFonts w:ascii="Times New Roman" w:hAnsi="Times New Roman"/>
          <w:b/>
          <w:sz w:val="24"/>
          <w:szCs w:val="24"/>
        </w:rPr>
        <w:t xml:space="preserve">R$ 356.700,00 </w:t>
      </w:r>
      <w:r w:rsidRPr="00DE2F37">
        <w:rPr>
          <w:rFonts w:ascii="Times New Roman" w:hAnsi="Times New Roman"/>
          <w:b/>
          <w:sz w:val="24"/>
          <w:szCs w:val="24"/>
        </w:rPr>
        <w:t>(Trezentos</w:t>
      </w:r>
      <w:r w:rsidR="00404CCC" w:rsidRPr="00DE2F37">
        <w:rPr>
          <w:rFonts w:ascii="Times New Roman" w:hAnsi="Times New Roman"/>
          <w:b/>
          <w:sz w:val="24"/>
          <w:szCs w:val="24"/>
        </w:rPr>
        <w:t xml:space="preserve"> e Cinquenta e Seis Mil e Setecentos </w:t>
      </w:r>
      <w:r w:rsidRPr="00DE2F37">
        <w:rPr>
          <w:rFonts w:ascii="Times New Roman" w:hAnsi="Times New Roman"/>
          <w:b/>
          <w:sz w:val="24"/>
          <w:szCs w:val="24"/>
        </w:rPr>
        <w:t>Reais)</w:t>
      </w:r>
      <w:r w:rsidR="00951376">
        <w:rPr>
          <w:rFonts w:ascii="Times New Roman" w:hAnsi="Times New Roman"/>
          <w:sz w:val="24"/>
          <w:szCs w:val="24"/>
        </w:rPr>
        <w:t xml:space="preserve"> em julho de 2024 /</w:t>
      </w:r>
      <w:r w:rsidR="00234B56">
        <w:rPr>
          <w:rFonts w:ascii="Times New Roman" w:hAnsi="Times New Roman"/>
          <w:sz w:val="24"/>
          <w:szCs w:val="24"/>
        </w:rPr>
        <w:t xml:space="preserve"> </w:t>
      </w:r>
      <w:r w:rsidR="00234B56" w:rsidRPr="00514D93">
        <w:rPr>
          <w:rFonts w:ascii="Times New Roman" w:hAnsi="Times New Roman"/>
          <w:b/>
          <w:sz w:val="24"/>
          <w:szCs w:val="24"/>
        </w:rPr>
        <w:t>fls</w:t>
      </w:r>
      <w:r w:rsidR="00951376" w:rsidRPr="00514D93">
        <w:rPr>
          <w:rFonts w:ascii="Times New Roman" w:hAnsi="Times New Roman"/>
          <w:b/>
          <w:sz w:val="24"/>
          <w:szCs w:val="24"/>
        </w:rPr>
        <w:t>.</w:t>
      </w:r>
      <w:r w:rsidR="00234B56" w:rsidRPr="00514D93">
        <w:rPr>
          <w:rFonts w:ascii="Times New Roman" w:hAnsi="Times New Roman"/>
          <w:b/>
          <w:sz w:val="24"/>
          <w:szCs w:val="24"/>
        </w:rPr>
        <w:t xml:space="preserve"> 620</w:t>
      </w:r>
      <w:r w:rsidR="00234B56">
        <w:rPr>
          <w:rFonts w:ascii="Times New Roman" w:hAnsi="Times New Roman"/>
          <w:sz w:val="24"/>
          <w:szCs w:val="24"/>
        </w:rPr>
        <w:t xml:space="preserve">, </w:t>
      </w:r>
      <w:r w:rsidR="00404CCC" w:rsidRPr="00DE2F37">
        <w:rPr>
          <w:rFonts w:ascii="Times New Roman" w:hAnsi="Times New Roman"/>
          <w:sz w:val="24"/>
          <w:szCs w:val="24"/>
        </w:rPr>
        <w:t>que será atualizado à época do leilão.</w:t>
      </w:r>
    </w:p>
    <w:p w:rsidR="000F573D" w:rsidRPr="00DE2F37" w:rsidRDefault="000F573D" w:rsidP="000F573D">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b/>
          <w:sz w:val="24"/>
          <w:szCs w:val="24"/>
        </w:rPr>
      </w:pPr>
      <w:r w:rsidRPr="00DE2F37">
        <w:rPr>
          <w:rFonts w:ascii="Times New Roman" w:hAnsi="Times New Roman"/>
          <w:b/>
          <w:sz w:val="24"/>
          <w:szCs w:val="24"/>
        </w:rPr>
        <w:t>DAS DATAS DOS LEILÕES:</w:t>
      </w:r>
    </w:p>
    <w:p w:rsidR="007A1318" w:rsidRPr="00DE2F37" w:rsidRDefault="007A1318" w:rsidP="00650807">
      <w:pPr>
        <w:spacing w:after="0" w:line="240" w:lineRule="atLeast"/>
        <w:ind w:left="567" w:right="261"/>
        <w:jc w:val="both"/>
        <w:rPr>
          <w:rFonts w:ascii="Times New Roman" w:hAnsi="Times New Roman"/>
          <w:sz w:val="24"/>
          <w:szCs w:val="24"/>
        </w:rPr>
      </w:pPr>
    </w:p>
    <w:p w:rsidR="007A1318" w:rsidRPr="00DE2F37" w:rsidRDefault="007A1318" w:rsidP="007A1318">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1º Leilão</w:t>
      </w:r>
      <w:r w:rsidRPr="00DE2F37">
        <w:rPr>
          <w:rFonts w:ascii="Times New Roman" w:hAnsi="Times New Roman"/>
          <w:sz w:val="24"/>
          <w:szCs w:val="24"/>
        </w:rPr>
        <w:t xml:space="preserve"> terá início no dia </w:t>
      </w:r>
      <w:r w:rsidR="00950C1D">
        <w:rPr>
          <w:rFonts w:ascii="Times New Roman" w:hAnsi="Times New Roman"/>
          <w:b/>
          <w:sz w:val="24"/>
          <w:szCs w:val="24"/>
        </w:rPr>
        <w:t>02</w:t>
      </w:r>
      <w:r w:rsidR="00950C1D" w:rsidRPr="00C6024E">
        <w:rPr>
          <w:rFonts w:ascii="Times New Roman" w:hAnsi="Times New Roman"/>
          <w:b/>
          <w:sz w:val="24"/>
          <w:szCs w:val="24"/>
        </w:rPr>
        <w:t>/</w:t>
      </w:r>
      <w:r w:rsidR="00950C1D">
        <w:rPr>
          <w:rFonts w:ascii="Times New Roman" w:hAnsi="Times New Roman"/>
          <w:b/>
          <w:sz w:val="24"/>
          <w:szCs w:val="24"/>
        </w:rPr>
        <w:t xml:space="preserve">03/2026 </w:t>
      </w:r>
      <w:r w:rsidRPr="00DE2F37">
        <w:rPr>
          <w:rFonts w:ascii="Times New Roman" w:hAnsi="Times New Roman"/>
          <w:sz w:val="24"/>
          <w:szCs w:val="24"/>
        </w:rPr>
        <w:t xml:space="preserve">às 14h00, e se encerrará dia </w:t>
      </w:r>
      <w:r w:rsidR="00950C1D">
        <w:rPr>
          <w:rFonts w:ascii="Times New Roman" w:hAnsi="Times New Roman"/>
          <w:b/>
          <w:sz w:val="24"/>
          <w:szCs w:val="24"/>
        </w:rPr>
        <w:t>05</w:t>
      </w:r>
      <w:r w:rsidR="00950C1D" w:rsidRPr="00C6024E">
        <w:rPr>
          <w:rFonts w:ascii="Times New Roman" w:hAnsi="Times New Roman"/>
          <w:b/>
          <w:sz w:val="24"/>
          <w:szCs w:val="24"/>
        </w:rPr>
        <w:t>/</w:t>
      </w:r>
      <w:r w:rsidR="00950C1D">
        <w:rPr>
          <w:rFonts w:ascii="Times New Roman" w:hAnsi="Times New Roman"/>
          <w:b/>
          <w:sz w:val="24"/>
          <w:szCs w:val="24"/>
        </w:rPr>
        <w:t>03</w:t>
      </w:r>
      <w:r w:rsidR="00950C1D" w:rsidRPr="00C6024E">
        <w:rPr>
          <w:rFonts w:ascii="Times New Roman" w:hAnsi="Times New Roman"/>
          <w:b/>
          <w:sz w:val="24"/>
          <w:szCs w:val="24"/>
        </w:rPr>
        <w:t>/202</w:t>
      </w:r>
      <w:r w:rsidR="00950C1D">
        <w:rPr>
          <w:rFonts w:ascii="Times New Roman" w:hAnsi="Times New Roman"/>
          <w:b/>
          <w:sz w:val="24"/>
          <w:szCs w:val="24"/>
        </w:rPr>
        <w:t>6</w:t>
      </w:r>
      <w:r w:rsidR="00950C1D">
        <w:rPr>
          <w:rFonts w:ascii="Times New Roman" w:hAnsi="Times New Roman"/>
          <w:b/>
          <w:sz w:val="24"/>
          <w:szCs w:val="24"/>
        </w:rPr>
        <w:t xml:space="preserve"> </w:t>
      </w:r>
      <w:r w:rsidRPr="00DE2F37">
        <w:rPr>
          <w:rFonts w:ascii="Times New Roman" w:hAnsi="Times New Roman"/>
          <w:sz w:val="24"/>
          <w:szCs w:val="24"/>
        </w:rPr>
        <w:t>às 14h00, onde somente serão aceitos lances iguais ou superiores ao valor da avaliação; não havendo lance igual ou superior ao valor da avaliação, seguir-se-á sem interrupção;</w:t>
      </w:r>
    </w:p>
    <w:p w:rsidR="007A1318" w:rsidRPr="00DE2F37" w:rsidRDefault="007A1318" w:rsidP="00650807">
      <w:pPr>
        <w:spacing w:after="0" w:line="240" w:lineRule="atLeast"/>
        <w:ind w:left="567" w:right="261"/>
        <w:jc w:val="both"/>
        <w:rPr>
          <w:rFonts w:ascii="Times New Roman" w:hAnsi="Times New Roman"/>
          <w:sz w:val="24"/>
          <w:szCs w:val="24"/>
        </w:rPr>
      </w:pPr>
    </w:p>
    <w:p w:rsidR="00650807" w:rsidRPr="00514D93" w:rsidRDefault="007A1318"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2º Leilão</w:t>
      </w:r>
      <w:r w:rsidRPr="00DE2F37">
        <w:rPr>
          <w:rFonts w:ascii="Times New Roman" w:hAnsi="Times New Roman"/>
          <w:sz w:val="24"/>
          <w:szCs w:val="24"/>
        </w:rPr>
        <w:t xml:space="preserve">, que terá início no dia </w:t>
      </w:r>
      <w:r w:rsidR="00950C1D">
        <w:rPr>
          <w:rFonts w:ascii="Times New Roman" w:hAnsi="Times New Roman"/>
          <w:b/>
          <w:sz w:val="24"/>
          <w:szCs w:val="24"/>
        </w:rPr>
        <w:t>05</w:t>
      </w:r>
      <w:r w:rsidR="00950C1D" w:rsidRPr="00C6024E">
        <w:rPr>
          <w:rFonts w:ascii="Times New Roman" w:hAnsi="Times New Roman"/>
          <w:b/>
          <w:sz w:val="24"/>
          <w:szCs w:val="24"/>
        </w:rPr>
        <w:t>/</w:t>
      </w:r>
      <w:r w:rsidR="00950C1D">
        <w:rPr>
          <w:rFonts w:ascii="Times New Roman" w:hAnsi="Times New Roman"/>
          <w:b/>
          <w:sz w:val="24"/>
          <w:szCs w:val="24"/>
        </w:rPr>
        <w:t>03</w:t>
      </w:r>
      <w:r w:rsidR="00950C1D" w:rsidRPr="00C6024E">
        <w:rPr>
          <w:rFonts w:ascii="Times New Roman" w:hAnsi="Times New Roman"/>
          <w:b/>
          <w:sz w:val="24"/>
          <w:szCs w:val="24"/>
        </w:rPr>
        <w:t>/202</w:t>
      </w:r>
      <w:r w:rsidR="00950C1D">
        <w:rPr>
          <w:rFonts w:ascii="Times New Roman" w:hAnsi="Times New Roman"/>
          <w:b/>
          <w:sz w:val="24"/>
          <w:szCs w:val="24"/>
        </w:rPr>
        <w:t xml:space="preserve">6 </w:t>
      </w:r>
      <w:r w:rsidRPr="00DE2F37">
        <w:rPr>
          <w:rFonts w:ascii="Times New Roman" w:hAnsi="Times New Roman"/>
          <w:sz w:val="24"/>
          <w:szCs w:val="24"/>
        </w:rPr>
        <w:t xml:space="preserve">às </w:t>
      </w:r>
      <w:r w:rsidR="00234B56">
        <w:rPr>
          <w:rFonts w:ascii="Times New Roman" w:hAnsi="Times New Roman"/>
          <w:sz w:val="24"/>
          <w:szCs w:val="24"/>
        </w:rPr>
        <w:t>14</w:t>
      </w:r>
      <w:r w:rsidRPr="00DE2F37">
        <w:rPr>
          <w:rFonts w:ascii="Times New Roman" w:hAnsi="Times New Roman"/>
          <w:sz w:val="24"/>
          <w:szCs w:val="24"/>
        </w:rPr>
        <w:t xml:space="preserve">h01, e se encerrará no dia </w:t>
      </w:r>
      <w:r w:rsidR="00950C1D">
        <w:rPr>
          <w:rFonts w:ascii="Times New Roman" w:hAnsi="Times New Roman"/>
          <w:b/>
          <w:sz w:val="24"/>
          <w:szCs w:val="24"/>
        </w:rPr>
        <w:t>26</w:t>
      </w:r>
      <w:r w:rsidR="00950C1D" w:rsidRPr="00C6024E">
        <w:rPr>
          <w:rFonts w:ascii="Times New Roman" w:hAnsi="Times New Roman"/>
          <w:b/>
          <w:sz w:val="24"/>
          <w:szCs w:val="24"/>
        </w:rPr>
        <w:t>/</w:t>
      </w:r>
      <w:r w:rsidR="00950C1D">
        <w:rPr>
          <w:rFonts w:ascii="Times New Roman" w:hAnsi="Times New Roman"/>
          <w:b/>
          <w:sz w:val="24"/>
          <w:szCs w:val="24"/>
        </w:rPr>
        <w:t>03/2026</w:t>
      </w:r>
      <w:r w:rsidR="00950C1D">
        <w:rPr>
          <w:rFonts w:ascii="Times New Roman" w:hAnsi="Times New Roman"/>
          <w:b/>
          <w:sz w:val="24"/>
          <w:szCs w:val="24"/>
        </w:rPr>
        <w:t xml:space="preserve"> </w:t>
      </w:r>
      <w:bookmarkStart w:id="0" w:name="_GoBack"/>
      <w:bookmarkEnd w:id="0"/>
      <w:r w:rsidRPr="00DE2F37">
        <w:rPr>
          <w:rFonts w:ascii="Times New Roman" w:hAnsi="Times New Roman"/>
          <w:sz w:val="24"/>
          <w:szCs w:val="24"/>
        </w:rPr>
        <w:t xml:space="preserve">às 14h00, onde serão aceitos lances com no mínimo </w:t>
      </w:r>
      <w:r w:rsidR="00514D93" w:rsidRPr="00514D93">
        <w:rPr>
          <w:rFonts w:ascii="Times New Roman" w:hAnsi="Times New Roman"/>
          <w:b/>
          <w:sz w:val="24"/>
          <w:szCs w:val="24"/>
        </w:rPr>
        <w:t>50% (cinquenta por cento)</w:t>
      </w:r>
      <w:r w:rsidR="00514D93">
        <w:rPr>
          <w:rFonts w:ascii="Times New Roman" w:hAnsi="Times New Roman"/>
          <w:sz w:val="24"/>
          <w:szCs w:val="24"/>
        </w:rPr>
        <w:t xml:space="preserve"> </w:t>
      </w:r>
      <w:r w:rsidRPr="00514D93">
        <w:rPr>
          <w:rFonts w:ascii="Times New Roman" w:hAnsi="Times New Roman"/>
          <w:sz w:val="24"/>
          <w:szCs w:val="24"/>
        </w:rPr>
        <w:t>do valor da avaliação atualizado.</w:t>
      </w:r>
    </w:p>
    <w:p w:rsidR="00650807" w:rsidRPr="00234B56" w:rsidRDefault="00650807" w:rsidP="00650807">
      <w:pPr>
        <w:spacing w:after="0" w:line="240" w:lineRule="atLeast"/>
        <w:ind w:left="567" w:right="261"/>
        <w:jc w:val="both"/>
        <w:rPr>
          <w:rFonts w:ascii="Times New Roman" w:hAnsi="Times New Roman"/>
          <w:b/>
          <w:sz w:val="24"/>
          <w:szCs w:val="24"/>
        </w:rPr>
      </w:pPr>
    </w:p>
    <w:p w:rsidR="00CE2099" w:rsidRPr="00CE2099" w:rsidRDefault="00CE2099" w:rsidP="00CE2099">
      <w:pPr>
        <w:spacing w:after="0" w:line="240" w:lineRule="atLeast"/>
        <w:ind w:left="567" w:right="261"/>
        <w:jc w:val="both"/>
        <w:rPr>
          <w:rFonts w:ascii="Times New Roman" w:hAnsi="Times New Roman"/>
          <w:sz w:val="24"/>
          <w:szCs w:val="24"/>
        </w:rPr>
      </w:pPr>
      <w:r w:rsidRPr="00CE2099">
        <w:rPr>
          <w:rFonts w:ascii="Times New Roman" w:hAnsi="Times New Roman"/>
          <w:b/>
          <w:sz w:val="24"/>
          <w:szCs w:val="24"/>
        </w:rPr>
        <w:t>DO LANÇO:</w:t>
      </w:r>
      <w:r w:rsidRPr="00CE2099">
        <w:rPr>
          <w:rFonts w:ascii="Times New Roman" w:hAnsi="Times New Roman"/>
          <w:sz w:val="24"/>
          <w:szCs w:val="24"/>
        </w:rPr>
        <w:t xml:space="preserve"> Sobrevindo lanço nos 3 (três) minutos antecedentes ao termo final da alienação judicial eletrônica, o horário de fechamento do pregão será prorrogado em 3 (três) minutos para que todos os usuários interessados tenham oportunidade de ofertar novos lanços (Artigo 263 das NSCGJ Os lances poderão ser ofertados a partir do dia e hora de início do leilão pela rede de internet, através do Portal www.leilaoinvestment.com.br.</w:t>
      </w:r>
    </w:p>
    <w:p w:rsidR="00CE2099" w:rsidRPr="00DE2F37" w:rsidRDefault="00CE2099" w:rsidP="00650807">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lastRenderedPageBreak/>
        <w:t>DA VISITAÇÃO</w:t>
      </w:r>
      <w:r w:rsidRPr="00DE2F37">
        <w:rPr>
          <w:rFonts w:ascii="Times New Roman" w:hAnsi="Times New Roman"/>
          <w:sz w:val="24"/>
          <w:szCs w:val="24"/>
        </w:rPr>
        <w:t xml:space="preserve"> - As visitas deverão ser agendadas via e-mail: contato@leilaoinvestment.com.br. Contudo, os interessados só poderão verificar o bem desde que o responsável pela guarda e/ou executado autorizar a visitação.</w:t>
      </w:r>
    </w:p>
    <w:p w:rsidR="00650807" w:rsidRPr="00DE2F37" w:rsidRDefault="00650807" w:rsidP="00650807">
      <w:pPr>
        <w:spacing w:after="0" w:line="240" w:lineRule="atLeast"/>
        <w:ind w:left="567" w:right="261"/>
        <w:jc w:val="both"/>
        <w:rPr>
          <w:rFonts w:ascii="Times New Roman" w:hAnsi="Times New Roman"/>
          <w:sz w:val="24"/>
          <w:szCs w:val="24"/>
        </w:rPr>
      </w:pPr>
    </w:p>
    <w:p w:rsidR="00CE2099"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DO VALOR MÍNIMO DE VENDA DO BEM</w:t>
      </w:r>
      <w:r w:rsidRPr="00DE2F37">
        <w:rPr>
          <w:rFonts w:ascii="Times New Roman" w:hAnsi="Times New Roman"/>
          <w:sz w:val="24"/>
          <w:szCs w:val="24"/>
        </w:rPr>
        <w:t xml:space="preserve"> - No 2º Leilão, o valor mínimo para a venda do bem corresponderá a </w:t>
      </w:r>
      <w:r w:rsidR="00CE2099">
        <w:rPr>
          <w:rFonts w:ascii="Times New Roman" w:hAnsi="Times New Roman"/>
          <w:b/>
          <w:sz w:val="24"/>
          <w:szCs w:val="24"/>
        </w:rPr>
        <w:t>4</w:t>
      </w:r>
      <w:r w:rsidRPr="00CE2099">
        <w:rPr>
          <w:rFonts w:ascii="Times New Roman" w:hAnsi="Times New Roman"/>
          <w:b/>
          <w:sz w:val="24"/>
          <w:szCs w:val="24"/>
        </w:rPr>
        <w:t>0% (</w:t>
      </w:r>
      <w:r w:rsidR="00CE2099">
        <w:rPr>
          <w:rFonts w:ascii="Times New Roman" w:hAnsi="Times New Roman"/>
          <w:b/>
          <w:sz w:val="24"/>
          <w:szCs w:val="24"/>
        </w:rPr>
        <w:tab/>
        <w:t>quarenta</w:t>
      </w:r>
      <w:r w:rsidRPr="00CE2099">
        <w:rPr>
          <w:rFonts w:ascii="Times New Roman" w:hAnsi="Times New Roman"/>
          <w:b/>
          <w:sz w:val="24"/>
          <w:szCs w:val="24"/>
        </w:rPr>
        <w:t xml:space="preserve"> por cento</w:t>
      </w:r>
      <w:r w:rsidRPr="00DE2F37">
        <w:rPr>
          <w:rFonts w:ascii="Times New Roman" w:hAnsi="Times New Roman"/>
          <w:sz w:val="24"/>
          <w:szCs w:val="24"/>
        </w:rPr>
        <w:t xml:space="preserve">) do valor da avaliação judicial, que será atualizada até a data de início da alienação judicial. </w:t>
      </w:r>
    </w:p>
    <w:p w:rsidR="00CE2099" w:rsidRDefault="00CE2099" w:rsidP="00650807">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sz w:val="24"/>
          <w:szCs w:val="24"/>
        </w:rPr>
      </w:pPr>
    </w:p>
    <w:p w:rsidR="00650807"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DOS DÉBITOS</w:t>
      </w:r>
      <w:r w:rsidRPr="00DE2F37">
        <w:rPr>
          <w:rFonts w:ascii="Times New Roman" w:hAnsi="Times New Roman"/>
          <w:sz w:val="24"/>
          <w:szCs w:val="24"/>
        </w:rPr>
        <w:t xml:space="preserve"> - Eventuais ônus sobre o imóvel correrão por conta do arrematante, exceto débitos de IPTU e demais taxas e impostos, nos </w:t>
      </w:r>
      <w:r w:rsidRPr="00CE2099">
        <w:rPr>
          <w:rFonts w:ascii="Times New Roman" w:hAnsi="Times New Roman"/>
          <w:b/>
          <w:sz w:val="24"/>
          <w:szCs w:val="24"/>
        </w:rPr>
        <w:t>termos do art. 130, “caput”</w:t>
      </w:r>
      <w:r w:rsidRPr="00DE2F37">
        <w:rPr>
          <w:rFonts w:ascii="Times New Roman" w:hAnsi="Times New Roman"/>
          <w:sz w:val="24"/>
          <w:szCs w:val="24"/>
        </w:rPr>
        <w:t xml:space="preserve"> e parágrafo único, do CTN, os quais ficam </w:t>
      </w:r>
      <w:r w:rsidR="00CE2099" w:rsidRPr="00DE2F37">
        <w:rPr>
          <w:rFonts w:ascii="Times New Roman" w:hAnsi="Times New Roman"/>
          <w:sz w:val="24"/>
          <w:szCs w:val="24"/>
        </w:rPr>
        <w:t>sub-rogados</w:t>
      </w:r>
      <w:r w:rsidRPr="00DE2F37">
        <w:rPr>
          <w:rFonts w:ascii="Times New Roman" w:hAnsi="Times New Roman"/>
          <w:sz w:val="24"/>
          <w:szCs w:val="24"/>
        </w:rPr>
        <w:t xml:space="preserve"> no preço da arrematação. </w:t>
      </w:r>
    </w:p>
    <w:p w:rsidR="00CE2099" w:rsidRDefault="00CE2099" w:rsidP="00650807">
      <w:pPr>
        <w:spacing w:after="0" w:line="240" w:lineRule="atLeast"/>
        <w:ind w:left="567" w:right="261"/>
        <w:jc w:val="both"/>
        <w:rPr>
          <w:rFonts w:ascii="Times New Roman" w:hAnsi="Times New Roman"/>
          <w:sz w:val="24"/>
          <w:szCs w:val="24"/>
        </w:rPr>
      </w:pPr>
    </w:p>
    <w:p w:rsidR="00CE2099" w:rsidRPr="00CE2099" w:rsidRDefault="00CE2099" w:rsidP="00650807">
      <w:pPr>
        <w:spacing w:after="0" w:line="240" w:lineRule="atLeast"/>
        <w:ind w:left="567" w:right="261"/>
        <w:jc w:val="both"/>
        <w:rPr>
          <w:rFonts w:ascii="Times New Roman" w:hAnsi="Times New Roman"/>
          <w:sz w:val="24"/>
          <w:szCs w:val="24"/>
        </w:rPr>
      </w:pPr>
      <w:r w:rsidRPr="00CE2099">
        <w:rPr>
          <w:rFonts w:ascii="Times New Roman" w:hAnsi="Times New Roman"/>
          <w:b/>
          <w:sz w:val="24"/>
          <w:szCs w:val="24"/>
        </w:rPr>
        <w:t>DA EXPEDIÇÃO DA CARTA DE ARREMATAÇÃO</w:t>
      </w:r>
      <w:r w:rsidRPr="00CE2099">
        <w:rPr>
          <w:rFonts w:ascii="Times New Roman" w:hAnsi="Times New Roman"/>
          <w:sz w:val="24"/>
          <w:szCs w:val="24"/>
        </w:rPr>
        <w:t>: os atos necessários para a expedição da carta de arrematação, registro, ITBI, imissão na posse e demais providências serão de responsabilidade do arrematante (Artigo. 901, “caput”, § 1º e § 2º e Artigo 903, ambos do CPC).</w:t>
      </w:r>
    </w:p>
    <w:p w:rsidR="00650807" w:rsidRPr="00DE2F37" w:rsidRDefault="00650807" w:rsidP="00650807">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DOS ÔNUS HIPOTECÁRIOS:</w:t>
      </w:r>
      <w:r w:rsidRPr="00DE2F37">
        <w:rPr>
          <w:rFonts w:ascii="Times New Roman" w:hAnsi="Times New Roman"/>
          <w:sz w:val="24"/>
          <w:szCs w:val="24"/>
        </w:rPr>
        <w:t xml:space="preserve"> A hipoteca extingue-se com a arrematação, assim, nada será devido pelo arrematante ao credor hipotecário (Art. 1499, VI do Código Civil).</w:t>
      </w:r>
    </w:p>
    <w:p w:rsidR="00650807" w:rsidRPr="00DE2F37" w:rsidRDefault="00650807" w:rsidP="00650807">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DO PAGAMENTO</w:t>
      </w:r>
      <w:r w:rsidRPr="00DE2F37">
        <w:rPr>
          <w:rFonts w:ascii="Times New Roman" w:hAnsi="Times New Roman"/>
          <w:sz w:val="24"/>
          <w:szCs w:val="24"/>
        </w:rPr>
        <w:t xml:space="preserve"> - O arrematante deverá efetuar o pagamento do preço do bem arrematado, no prazo de até 24h (vinte e quatro) horas após o encerramento do leilão, através de guia de depósito judicial em favor do Juízo responsável, sob pena de se desfazer a arrematação. </w:t>
      </w:r>
    </w:p>
    <w:p w:rsidR="00650807" w:rsidRPr="00DE2F37" w:rsidRDefault="00650807" w:rsidP="00650807">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DA PROPOSTA</w:t>
      </w:r>
      <w:r w:rsidRPr="00DE2F37">
        <w:rPr>
          <w:rFonts w:ascii="Times New Roman" w:hAnsi="Times New Roman"/>
          <w:sz w:val="24"/>
          <w:szCs w:val="24"/>
        </w:rPr>
        <w:t xml:space="preserve"> - Os interessados deverão apresentar propostas escritas de arrematação de forma parcelada, obrigatoriamente encaminhada via e-mail contato@leilaoinvestment.com.br, junto ao lote do leilão (Art. 895, I e II, CPC). A apresentação de proposta não suspende o leilão (Art. 895, § 6º, CPC) e o pagamento do lance à vista sempre prevalecerá sobre o parcelado, ainda que mais vultoso (Art. 895, § 7º, CPC). A proposta, em qualquer hipótese, conterá pelo menos 25% do valor atualizado do bem para pagamento à vista e demais disposições previstas nos parágrafos 1º e 2º do art. 895 do CPC. As propostas de arrematação feitas diretamente no processo, mesmo após o término do leilão e mesmo que este tenha sido negativo, estão sujeitas aos termos deste edital, incluindo a obrigação de pagar a comissão do leiloeiro no percentual estabelecido neste edital.</w:t>
      </w:r>
    </w:p>
    <w:p w:rsidR="00650807" w:rsidRPr="00DE2F37" w:rsidRDefault="00650807" w:rsidP="00650807">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PENALIDADES PELO DESCUMPRIMENTO DAS PROPOSTAS</w:t>
      </w:r>
      <w:r w:rsidRPr="00DE2F37">
        <w:rPr>
          <w:rFonts w:ascii="Times New Roman" w:hAnsi="Times New Roman"/>
          <w:sz w:val="24"/>
          <w:szCs w:val="24"/>
        </w:rPr>
        <w:t xml:space="preserve"> - Em caso de atraso no pagamento de qualquer das prestações, incidirá multa de dez por cento sobre a soma da parcela inadimplida com as parcelas vincendas; O inadimplemento autoriza o exequente a pedir a resolução da arrematação ou promover, em face do arrematante, a execução do valor devido, devendo ambos os pedidos serem formulados nos autos da execução em que se deu a arrematação; (Art. 895, parágrafos 4º e 5º do CPC). </w:t>
      </w:r>
    </w:p>
    <w:p w:rsidR="00650807" w:rsidRPr="00DE2F37" w:rsidRDefault="00650807" w:rsidP="00650807">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DA COMISSÃO</w:t>
      </w:r>
      <w:r w:rsidRPr="00DE2F37">
        <w:rPr>
          <w:rFonts w:ascii="Times New Roman" w:hAnsi="Times New Roman"/>
          <w:sz w:val="24"/>
          <w:szCs w:val="24"/>
        </w:rPr>
        <w:t xml:space="preserve"> – O arrematante deverá pagar, a título de comissão, o valor correspondente a 5% (cinco por cento) sobre o preço de arrematação do imóvel. A comissão será devida pelo arrematante ainda que haja a desistência da arrematação. A comissão devida ao leiloeiro não está incluída no valor do lance e não será devolvida ao arrematante em nenhuma hipótese, salvo se a arrematação for desfeita por determinação judicial ou por razões alheias à vontade do arrematante e, deduzidas as despesas incorridas. </w:t>
      </w:r>
    </w:p>
    <w:p w:rsidR="00650807" w:rsidRPr="00DE2F37" w:rsidRDefault="00650807" w:rsidP="00650807">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lastRenderedPageBreak/>
        <w:t>DO PAGAMENTO</w:t>
      </w:r>
      <w:r w:rsidRPr="00DE2F37">
        <w:rPr>
          <w:rFonts w:ascii="Times New Roman" w:hAnsi="Times New Roman"/>
          <w:sz w:val="24"/>
          <w:szCs w:val="24"/>
        </w:rPr>
        <w:t xml:space="preserve"> </w:t>
      </w:r>
      <w:r w:rsidRPr="00DE2F37">
        <w:rPr>
          <w:rFonts w:ascii="Times New Roman" w:hAnsi="Times New Roman"/>
          <w:b/>
          <w:sz w:val="24"/>
          <w:szCs w:val="24"/>
        </w:rPr>
        <w:t>DA COMISSÃO</w:t>
      </w:r>
      <w:r w:rsidRPr="00DE2F37">
        <w:rPr>
          <w:rFonts w:ascii="Times New Roman" w:hAnsi="Times New Roman"/>
          <w:sz w:val="24"/>
          <w:szCs w:val="24"/>
        </w:rPr>
        <w:t xml:space="preserve"> - O pagamento da comissão do leiloeiro deverá ser realizado em até 24h (vinte e quatro) horas a contar do encerramento do leilão, através de depósito bancário, sendo os dados informados oportunamente. Todas as regras e condições do Leilão estão disponíveis no Portal www.leilaoinvestment.com.br </w:t>
      </w:r>
    </w:p>
    <w:p w:rsidR="00CE2099" w:rsidRDefault="00CE2099" w:rsidP="00650807">
      <w:pPr>
        <w:spacing w:after="0" w:line="240" w:lineRule="atLeast"/>
        <w:ind w:left="567" w:right="261"/>
        <w:jc w:val="both"/>
        <w:rPr>
          <w:rFonts w:ascii="Times New Roman" w:hAnsi="Times New Roman"/>
          <w:b/>
          <w:sz w:val="24"/>
          <w:szCs w:val="24"/>
        </w:rPr>
      </w:pPr>
    </w:p>
    <w:p w:rsidR="00650807" w:rsidRPr="00DE2F37" w:rsidRDefault="00CE2099" w:rsidP="00650807">
      <w:pPr>
        <w:spacing w:after="0" w:line="240" w:lineRule="atLeast"/>
        <w:ind w:left="567" w:right="261"/>
        <w:jc w:val="both"/>
        <w:rPr>
          <w:rFonts w:ascii="Times New Roman" w:hAnsi="Times New Roman"/>
          <w:sz w:val="24"/>
          <w:szCs w:val="24"/>
        </w:rPr>
      </w:pPr>
      <w:r>
        <w:rPr>
          <w:rFonts w:ascii="Times New Roman" w:hAnsi="Times New Roman"/>
          <w:b/>
          <w:sz w:val="24"/>
          <w:szCs w:val="24"/>
        </w:rPr>
        <w:t xml:space="preserve">DO </w:t>
      </w:r>
      <w:r w:rsidR="00650807" w:rsidRPr="00DE2F37">
        <w:rPr>
          <w:rFonts w:ascii="Times New Roman" w:hAnsi="Times New Roman"/>
          <w:b/>
          <w:sz w:val="24"/>
          <w:szCs w:val="24"/>
        </w:rPr>
        <w:t>ACORDO</w:t>
      </w:r>
      <w:r w:rsidR="00650807" w:rsidRPr="00DE2F37">
        <w:rPr>
          <w:rFonts w:ascii="Times New Roman" w:hAnsi="Times New Roman"/>
          <w:sz w:val="24"/>
          <w:szCs w:val="24"/>
        </w:rPr>
        <w:t xml:space="preserve"> - Caso o executado pagar o débito ou houver composição entre as partes após a publicação de editais, as partes deverão declinar em sua minuta de acordo quem arcará com comissão do leiloeiro no perceptual determinado para o leilão, bem como com os custos do leilão, sob pena de o(a) executado(a) suportá-lo integralmente. Havendo adjudicação do bem levado a leilão pelo Exequente, após a publicação do edital, este deverá arcar com o valor da comissão do leiloeiro no perceptual determinado para o leilão. Caso acordo, pagamento do débito ou a adjudicação ocorram após a publicação do edital ou a realização da alienação, o Leiloeiro fará jus à comissão previamente fixada, conforme o § 3º do artigo 7º da Resolução nº 236 do Conselho Nacional de Justiça de 13/07/2016. </w:t>
      </w:r>
    </w:p>
    <w:p w:rsidR="00650807" w:rsidRPr="00DE2F37" w:rsidRDefault="00650807" w:rsidP="00650807">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sz w:val="24"/>
          <w:szCs w:val="24"/>
        </w:rPr>
      </w:pPr>
      <w:r w:rsidRPr="00CE2099">
        <w:rPr>
          <w:rFonts w:ascii="Times New Roman" w:hAnsi="Times New Roman"/>
          <w:b/>
          <w:sz w:val="24"/>
          <w:szCs w:val="24"/>
        </w:rPr>
        <w:t>DA INTIMAÇÃO:</w:t>
      </w:r>
      <w:r w:rsidRPr="00DE2F37">
        <w:rPr>
          <w:rFonts w:ascii="Times New Roman" w:hAnsi="Times New Roman"/>
          <w:sz w:val="24"/>
          <w:szCs w:val="24"/>
        </w:rPr>
        <w:t xml:space="preserve"> Por qualquer motivo caso a intimação pessoal do executado não se realizar por meio de seus advogados ou pelo endereço constante dos autos, será intimado através do próprio edital de leilão nos termos do art. 889, I, do CPC. </w:t>
      </w:r>
    </w:p>
    <w:p w:rsidR="00650807" w:rsidRPr="00DE2F37" w:rsidRDefault="00650807" w:rsidP="00650807">
      <w:pPr>
        <w:spacing w:after="0" w:line="240" w:lineRule="atLeast"/>
        <w:ind w:left="567" w:right="261"/>
        <w:jc w:val="both"/>
        <w:rPr>
          <w:rFonts w:ascii="Times New Roman" w:hAnsi="Times New Roman"/>
          <w:sz w:val="24"/>
          <w:szCs w:val="24"/>
        </w:rPr>
      </w:pPr>
    </w:p>
    <w:p w:rsidR="00650807"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b/>
          <w:sz w:val="24"/>
          <w:szCs w:val="24"/>
        </w:rPr>
        <w:t>DA PUBLICAÇÃO DO EDITAL</w:t>
      </w:r>
      <w:r w:rsidRPr="00DE2F37">
        <w:rPr>
          <w:rFonts w:ascii="Times New Roman" w:hAnsi="Times New Roman"/>
          <w:sz w:val="24"/>
          <w:szCs w:val="24"/>
        </w:rPr>
        <w:t xml:space="preserve"> - O edital será publicado na rede mundial de computadores, no sítio do leiloeiro www.leilaoinvestment.com.br, em conformidade com o disposto no art. 887, § 2º, do Código de Processo Civil, inclusive as fotos e a descrição detalhada do imóvel a ser apregoado. Dos autos não consta recursos ou causa pendente de julgamento. </w:t>
      </w:r>
    </w:p>
    <w:p w:rsidR="00CE2099" w:rsidRDefault="00CE2099" w:rsidP="00650807">
      <w:pPr>
        <w:spacing w:after="0" w:line="240" w:lineRule="atLeast"/>
        <w:ind w:left="567" w:right="261"/>
        <w:jc w:val="both"/>
        <w:rPr>
          <w:rFonts w:ascii="Times New Roman" w:hAnsi="Times New Roman"/>
          <w:sz w:val="24"/>
          <w:szCs w:val="24"/>
        </w:rPr>
      </w:pPr>
    </w:p>
    <w:p w:rsidR="00CE2099" w:rsidRPr="00CE2099" w:rsidRDefault="00CE2099" w:rsidP="00CE2099">
      <w:pPr>
        <w:spacing w:after="0" w:line="240" w:lineRule="atLeast"/>
        <w:ind w:left="567" w:right="261"/>
        <w:jc w:val="both"/>
        <w:rPr>
          <w:rFonts w:ascii="Times New Roman" w:hAnsi="Times New Roman"/>
          <w:sz w:val="24"/>
          <w:szCs w:val="24"/>
        </w:rPr>
      </w:pPr>
      <w:r w:rsidRPr="00CE2099">
        <w:rPr>
          <w:rFonts w:ascii="Times New Roman" w:hAnsi="Times New Roman"/>
          <w:b/>
          <w:sz w:val="24"/>
          <w:szCs w:val="24"/>
        </w:rPr>
        <w:t>FALE CONOSCO</w:t>
      </w:r>
      <w:r w:rsidRPr="00CE2099">
        <w:rPr>
          <w:rFonts w:ascii="Times New Roman" w:hAnsi="Times New Roman"/>
          <w:sz w:val="24"/>
          <w:szCs w:val="24"/>
        </w:rPr>
        <w:t>: Eventuais dúvidas poderão ser esclarecidas através do e-mail: contato@leilaoinvestment.com.br, ou pelo telefone: (11) 94719-5717.</w:t>
      </w:r>
    </w:p>
    <w:p w:rsidR="00650807" w:rsidRPr="00DE2F37" w:rsidRDefault="00650807" w:rsidP="00650807">
      <w:pPr>
        <w:spacing w:after="0" w:line="240" w:lineRule="atLeast"/>
        <w:ind w:left="567" w:right="261"/>
        <w:jc w:val="both"/>
        <w:rPr>
          <w:rFonts w:ascii="Times New Roman" w:hAnsi="Times New Roman"/>
          <w:sz w:val="24"/>
          <w:szCs w:val="24"/>
        </w:rPr>
      </w:pPr>
    </w:p>
    <w:p w:rsidR="00650807" w:rsidRPr="00DE2F37" w:rsidRDefault="00650807" w:rsidP="00650807">
      <w:pPr>
        <w:spacing w:after="0" w:line="240" w:lineRule="atLeast"/>
        <w:ind w:left="567" w:right="261"/>
        <w:jc w:val="both"/>
        <w:rPr>
          <w:rFonts w:ascii="Times New Roman" w:hAnsi="Times New Roman"/>
          <w:sz w:val="24"/>
          <w:szCs w:val="24"/>
        </w:rPr>
      </w:pPr>
      <w:r w:rsidRPr="00DE2F37">
        <w:rPr>
          <w:rFonts w:ascii="Times New Roman" w:hAnsi="Times New Roman"/>
          <w:sz w:val="24"/>
          <w:szCs w:val="24"/>
        </w:rPr>
        <w:t xml:space="preserve">Assim, pelo presente edital ficam os requeridos supracitados e demais interessados, intimados da designação supra, caso não localizados para intimação pessoal. Será o presente edital, por extrato, afixado e publicado na forma da lei. </w:t>
      </w:r>
      <w:r w:rsidR="0072073A">
        <w:rPr>
          <w:rFonts w:ascii="Times New Roman" w:hAnsi="Times New Roman"/>
          <w:sz w:val="24"/>
          <w:szCs w:val="24"/>
        </w:rPr>
        <w:t xml:space="preserve">São Paulo 25 de janeiro de 2026. </w:t>
      </w:r>
      <w:r w:rsidRPr="00DE2F37">
        <w:rPr>
          <w:rFonts w:ascii="Times New Roman" w:hAnsi="Times New Roman"/>
          <w:b/>
          <w:sz w:val="24"/>
          <w:szCs w:val="24"/>
        </w:rPr>
        <w:t>NADA MAIS</w:t>
      </w:r>
    </w:p>
    <w:p w:rsidR="000F573D" w:rsidRPr="00DE2F37" w:rsidRDefault="000F573D" w:rsidP="000F573D">
      <w:pPr>
        <w:spacing w:after="0" w:line="240" w:lineRule="atLeast"/>
        <w:ind w:left="567" w:right="261"/>
        <w:jc w:val="both"/>
        <w:rPr>
          <w:rFonts w:ascii="Times New Roman" w:hAnsi="Times New Roman"/>
          <w:sz w:val="24"/>
          <w:szCs w:val="24"/>
        </w:rPr>
      </w:pPr>
    </w:p>
    <w:p w:rsidR="00234B56" w:rsidRDefault="00234B56" w:rsidP="007A1318">
      <w:pPr>
        <w:spacing w:after="0" w:line="240" w:lineRule="atLeast"/>
        <w:ind w:left="567" w:right="261"/>
        <w:jc w:val="center"/>
        <w:rPr>
          <w:rFonts w:ascii="Times New Roman" w:hAnsi="Times New Roman"/>
          <w:b/>
          <w:sz w:val="24"/>
          <w:szCs w:val="24"/>
        </w:rPr>
      </w:pPr>
      <w:r>
        <w:rPr>
          <w:rFonts w:ascii="Times New Roman" w:hAnsi="Times New Roman"/>
          <w:b/>
          <w:sz w:val="24"/>
          <w:szCs w:val="24"/>
        </w:rPr>
        <w:t xml:space="preserve">Dra. </w:t>
      </w:r>
      <w:r w:rsidRPr="00DE2F37">
        <w:rPr>
          <w:rFonts w:ascii="Times New Roman" w:hAnsi="Times New Roman"/>
          <w:b/>
          <w:sz w:val="24"/>
          <w:szCs w:val="24"/>
        </w:rPr>
        <w:t>FABIANA PEREIRA RAGAZZI</w:t>
      </w:r>
    </w:p>
    <w:p w:rsidR="000F573D" w:rsidRPr="00DE2F37" w:rsidRDefault="00514D93" w:rsidP="007A1318">
      <w:pPr>
        <w:spacing w:after="0" w:line="240" w:lineRule="atLeast"/>
        <w:ind w:left="567" w:right="261"/>
        <w:jc w:val="center"/>
        <w:rPr>
          <w:rFonts w:ascii="Times New Roman" w:hAnsi="Times New Roman"/>
          <w:b/>
          <w:sz w:val="24"/>
          <w:szCs w:val="24"/>
        </w:rPr>
      </w:pPr>
      <w:r>
        <w:rPr>
          <w:rFonts w:ascii="Times New Roman" w:hAnsi="Times New Roman"/>
          <w:b/>
          <w:sz w:val="24"/>
          <w:szCs w:val="24"/>
        </w:rPr>
        <w:t>JUÍ</w:t>
      </w:r>
      <w:r w:rsidR="00234B56">
        <w:rPr>
          <w:rFonts w:ascii="Times New Roman" w:hAnsi="Times New Roman"/>
          <w:b/>
          <w:sz w:val="24"/>
          <w:szCs w:val="24"/>
        </w:rPr>
        <w:t>Z</w:t>
      </w:r>
      <w:r>
        <w:rPr>
          <w:rFonts w:ascii="Times New Roman" w:hAnsi="Times New Roman"/>
          <w:b/>
          <w:sz w:val="24"/>
          <w:szCs w:val="24"/>
        </w:rPr>
        <w:t xml:space="preserve">A </w:t>
      </w:r>
      <w:r w:rsidR="00234B56">
        <w:rPr>
          <w:rFonts w:ascii="Times New Roman" w:hAnsi="Times New Roman"/>
          <w:b/>
          <w:sz w:val="24"/>
          <w:szCs w:val="24"/>
        </w:rPr>
        <w:t>DE DIREITO</w:t>
      </w:r>
    </w:p>
    <w:sectPr w:rsidR="000F573D" w:rsidRPr="00DE2F37">
      <w:headerReference w:type="default" r:id="rId7"/>
      <w:footerReference w:type="default" r:id="rId8"/>
      <w:pgSz w:w="11906" w:h="16838"/>
      <w:pgMar w:top="765" w:right="720" w:bottom="765" w:left="720" w:header="708" w:footer="708"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661B" w:rsidRDefault="000B661B">
      <w:pPr>
        <w:spacing w:after="0" w:line="240" w:lineRule="auto"/>
      </w:pPr>
      <w:r>
        <w:separator/>
      </w:r>
    </w:p>
  </w:endnote>
  <w:endnote w:type="continuationSeparator" w:id="0">
    <w:p w:rsidR="000B661B" w:rsidRDefault="000B66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Times New Roma">
    <w:altName w:val="Times New Roman"/>
    <w:panose1 w:val="00000000000000000000"/>
    <w:charset w:val="00"/>
    <w:family w:val="roman"/>
    <w:notTrueType/>
    <w:pitch w:val="default"/>
  </w:font>
  <w:font w:name="SimSun;宋体">
    <w:panose1 w:val="00000000000000000000"/>
    <w:charset w:val="8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Helvetica;sans-serif">
    <w:altName w:val="Times New Roman"/>
    <w:panose1 w:val="00000000000000000000"/>
    <w:charset w:val="00"/>
    <w:family w:val="roman"/>
    <w:notTrueType/>
    <w:pitch w:val="default"/>
  </w:font>
  <w:font w:name="Arial; Helvetica">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1548" w:rsidRDefault="00221548">
    <w:pPr>
      <w:pStyle w:val="Rodap"/>
      <w:jc w:val="right"/>
    </w:pPr>
  </w:p>
  <w:p w:rsidR="00221548" w:rsidRDefault="00893318">
    <w:pPr>
      <w:pStyle w:val="Rodap"/>
      <w:jc w:val="center"/>
    </w:pPr>
    <w:r>
      <w:rPr>
        <w:rFonts w:ascii="Arial;Helvetica;sans-serif" w:hAnsi="Arial;Helvetica;sans-serif"/>
        <w:color w:val="666666"/>
        <w:sz w:val="18"/>
      </w:rPr>
      <w:t>________________________________________________________________________________________________________</w:t>
    </w:r>
  </w:p>
  <w:p w:rsidR="00221548" w:rsidRDefault="00893318">
    <w:pPr>
      <w:spacing w:line="240" w:lineRule="atLeast"/>
      <w:ind w:left="567" w:right="260"/>
      <w:jc w:val="center"/>
    </w:pPr>
    <w:r>
      <w:rPr>
        <w:rFonts w:ascii="Times New Roman" w:eastAsia="Times New Roman" w:hAnsi="Times New Roman"/>
        <w:b/>
        <w:bCs/>
        <w:lang w:eastAsia="pt-BR"/>
      </w:rPr>
      <w:tab/>
    </w:r>
    <w:r>
      <w:rPr>
        <w:rFonts w:ascii="Times New Roman" w:eastAsia="Times New Roman" w:hAnsi="Times New Roman"/>
        <w:b/>
        <w:bCs/>
        <w:lang w:eastAsia="pt-BR"/>
      </w:rPr>
      <w:tab/>
    </w:r>
    <w:r>
      <w:rPr>
        <w:rFonts w:ascii="Times New Roman" w:eastAsia="Times New Roman" w:hAnsi="Times New Roman"/>
        <w:b/>
        <w:bCs/>
        <w:lang w:eastAsia="pt-BR"/>
      </w:rPr>
      <w:tab/>
    </w:r>
    <w:r>
      <w:rPr>
        <w:rFonts w:ascii="Times New Roman" w:eastAsia="Times New Roman" w:hAnsi="Times New Roman"/>
        <w:b/>
        <w:bCs/>
        <w:lang w:eastAsia="pt-BR"/>
      </w:rPr>
      <w:tab/>
    </w:r>
    <w:r>
      <w:rPr>
        <w:rFonts w:ascii="Times New Roman" w:eastAsia="Times New Roman" w:hAnsi="Times New Roman"/>
        <w:b/>
        <w:bCs/>
        <w:lang w:eastAsia="pt-BR"/>
      </w:rPr>
      <w:tab/>
    </w:r>
    <w:r>
      <w:rPr>
        <w:rFonts w:ascii="Times New Roman" w:eastAsia="Times New Roman" w:hAnsi="Times New Roman"/>
        <w:b/>
        <w:bCs/>
        <w:lang w:eastAsia="pt-BR"/>
      </w:rPr>
      <w:tab/>
    </w:r>
    <w:r>
      <w:rPr>
        <w:rFonts w:ascii="Times New Roman" w:eastAsia="Times New Roman" w:hAnsi="Times New Roman"/>
        <w:b/>
        <w:bCs/>
        <w:lang w:eastAsia="pt-BR"/>
      </w:rPr>
      <w:tab/>
      <w:t xml:space="preserve">                                                                        </w:t>
    </w:r>
    <w:r>
      <w:rPr>
        <w:rFonts w:ascii="Times New Roman" w:eastAsia="Times New Roman" w:hAnsi="Times New Roman"/>
        <w:lang w:eastAsia="pt-BR"/>
      </w:rPr>
      <w:t xml:space="preserve">Página </w:t>
    </w:r>
    <w:r>
      <w:rPr>
        <w:rFonts w:ascii="Times New Roman" w:eastAsia="Times New Roman" w:hAnsi="Times New Roman"/>
        <w:lang w:eastAsia="pt-BR"/>
      </w:rPr>
      <w:fldChar w:fldCharType="begin"/>
    </w:r>
    <w:r>
      <w:instrText>PAGE</w:instrText>
    </w:r>
    <w:r>
      <w:fldChar w:fldCharType="separate"/>
    </w:r>
    <w:r w:rsidR="00950C1D">
      <w:rPr>
        <w:noProof/>
      </w:rPr>
      <w:t>3</w:t>
    </w:r>
    <w:r>
      <w:fldChar w:fldCharType="end"/>
    </w:r>
    <w:r>
      <w:rPr>
        <w:rFonts w:ascii="Times New Roman" w:eastAsia="Times New Roman" w:hAnsi="Times New Roman"/>
        <w:lang w:eastAsia="pt-BR"/>
      </w:rPr>
      <w:t xml:space="preserve"> de </w:t>
    </w:r>
    <w:r>
      <w:rPr>
        <w:rFonts w:ascii="Times New Roman" w:eastAsia="Times New Roman" w:hAnsi="Times New Roman"/>
        <w:lang w:eastAsia="pt-BR"/>
      </w:rPr>
      <w:fldChar w:fldCharType="begin"/>
    </w:r>
    <w:r>
      <w:instrText>NUMPAGES</w:instrText>
    </w:r>
    <w:r>
      <w:fldChar w:fldCharType="separate"/>
    </w:r>
    <w:r w:rsidR="00950C1D">
      <w:rPr>
        <w:noProof/>
      </w:rPr>
      <w:t>5</w:t>
    </w:r>
    <w:r>
      <w:fldChar w:fldCharType="end"/>
    </w:r>
  </w:p>
  <w:p w:rsidR="00221548" w:rsidRPr="00E538FE" w:rsidRDefault="00893318">
    <w:pPr>
      <w:pStyle w:val="Standard"/>
      <w:spacing w:line="240" w:lineRule="atLeast"/>
      <w:ind w:left="567" w:right="260"/>
      <w:jc w:val="center"/>
      <w:rPr>
        <w:lang w:val="pt-BR"/>
      </w:rPr>
    </w:pPr>
    <w:r>
      <w:rPr>
        <w:rFonts w:ascii="Arial; Helvetica" w:hAnsi="Arial; Helvetica" w:cs="Arial; Helvetica"/>
        <w:bCs/>
        <w:color w:val="808080"/>
        <w:sz w:val="22"/>
        <w:szCs w:val="22"/>
        <w:lang w:val="pt-BR" w:eastAsia="pt-BR"/>
      </w:rPr>
      <w:t xml:space="preserve">contato@leilaoinvestment.com.br  </w:t>
    </w:r>
    <w:r>
      <w:rPr>
        <w:rFonts w:ascii="Arial; Helvetica" w:hAnsi="Arial; Helvetica" w:cs="Arial; Helvetica"/>
        <w:bCs/>
        <w:caps/>
        <w:color w:val="808080"/>
        <w:sz w:val="22"/>
        <w:szCs w:val="22"/>
        <w:lang w:val="pt-BR" w:eastAsia="pt-BR"/>
      </w:rPr>
      <w:t>|</w:t>
    </w:r>
    <w:r>
      <w:rPr>
        <w:rFonts w:ascii="Arial; Helvetica" w:hAnsi="Arial; Helvetica" w:cs="Arial; Helvetica"/>
        <w:bCs/>
        <w:color w:val="808080"/>
        <w:sz w:val="22"/>
        <w:szCs w:val="22"/>
        <w:lang w:val="pt-BR" w:eastAsia="pt-BR"/>
      </w:rPr>
      <w:t xml:space="preserve"> </w:t>
    </w:r>
    <w:r>
      <w:rPr>
        <w:rFonts w:ascii="Arial; Helvetica" w:hAnsi="Arial; Helvetica" w:cs="Arial; Helvetica"/>
        <w:bCs/>
        <w:color w:val="3333FF"/>
        <w:sz w:val="22"/>
        <w:szCs w:val="22"/>
        <w:lang w:val="pt-BR" w:eastAsia="pt-BR"/>
      </w:rPr>
      <w:t xml:space="preserve"> </w:t>
    </w:r>
    <w:r>
      <w:rPr>
        <w:rFonts w:ascii="Arial; Helvetica" w:hAnsi="Arial; Helvetica" w:cs="Arial; Helvetica"/>
        <w:bCs/>
        <w:color w:val="808080"/>
        <w:sz w:val="22"/>
        <w:szCs w:val="22"/>
        <w:lang w:val="pt-BR" w:eastAsia="pt-BR"/>
      </w:rPr>
      <w:t xml:space="preserve">  </w:t>
    </w:r>
    <w:hyperlink r:id="rId1">
      <w:r>
        <w:rPr>
          <w:rStyle w:val="InternetLink"/>
          <w:rFonts w:ascii="Arial; Helvetica" w:hAnsi="Arial; Helvetica" w:cs="Arial; Helvetica"/>
          <w:bCs/>
          <w:color w:val="3333FF"/>
          <w:sz w:val="22"/>
          <w:szCs w:val="22"/>
          <w:lang w:val="pt-BR" w:eastAsia="pt-BR"/>
        </w:rPr>
        <w:t>www.leilaoinvestment.com.br</w:t>
      </w:r>
    </w:hyperlink>
    <w:r>
      <w:rPr>
        <w:rFonts w:ascii="Arial; Helvetica" w:hAnsi="Arial; Helvetica" w:cs="Arial; Helvetica"/>
        <w:bCs/>
        <w:color w:val="3333FF"/>
        <w:sz w:val="22"/>
        <w:szCs w:val="22"/>
        <w:lang w:val="pt-BR" w:eastAsia="pt-BR"/>
      </w:rPr>
      <w:t xml:space="preserve">  </w:t>
    </w:r>
    <w:r>
      <w:rPr>
        <w:rFonts w:ascii="Arial; Helvetica" w:hAnsi="Arial; Helvetica" w:cs="Arial; Helvetica"/>
        <w:bCs/>
        <w:color w:val="808080"/>
        <w:sz w:val="22"/>
        <w:szCs w:val="22"/>
        <w:lang w:val="pt-BR" w:eastAsia="pt-BR"/>
      </w:rPr>
      <w:t xml:space="preserve">  </w:t>
    </w:r>
    <w:r>
      <w:rPr>
        <w:rFonts w:ascii="Arial; Helvetica" w:hAnsi="Arial; Helvetica" w:cs="Arial; Helvetica"/>
        <w:bCs/>
        <w:caps/>
        <w:color w:val="808080"/>
        <w:sz w:val="22"/>
        <w:szCs w:val="22"/>
        <w:lang w:val="pt-BR" w:eastAsia="pt-BR"/>
      </w:rPr>
      <w:t xml:space="preserve">| </w:t>
    </w:r>
    <w:r>
      <w:rPr>
        <w:rFonts w:ascii="Arial; Helvetica" w:hAnsi="Arial; Helvetica" w:cs="Arial; Helvetica"/>
        <w:bCs/>
        <w:color w:val="808080"/>
        <w:sz w:val="22"/>
        <w:szCs w:val="22"/>
        <w:lang w:val="pt-BR" w:eastAsia="pt-BR"/>
      </w:rPr>
      <w:t xml:space="preserve"> (11) </w:t>
    </w:r>
    <w:r w:rsidR="00E538FE">
      <w:rPr>
        <w:rFonts w:ascii="Arial; Helvetica" w:hAnsi="Arial; Helvetica" w:cs="Arial; Helvetica"/>
        <w:bCs/>
        <w:color w:val="808080"/>
        <w:sz w:val="22"/>
        <w:szCs w:val="22"/>
        <w:lang w:val="pt-BR" w:eastAsia="pt-BR"/>
      </w:rPr>
      <w:t xml:space="preserve"> </w:t>
    </w:r>
    <w:r w:rsidR="00E538FE" w:rsidRPr="00E538FE">
      <w:rPr>
        <w:rFonts w:ascii="Arial; Helvetica" w:hAnsi="Arial; Helvetica" w:cs="Arial; Helvetica"/>
        <w:bCs/>
        <w:color w:val="808080"/>
        <w:sz w:val="22"/>
        <w:szCs w:val="22"/>
        <w:lang w:val="pt-BR" w:eastAsia="pt-BR"/>
      </w:rPr>
      <w:t>94719-5717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661B" w:rsidRDefault="000B661B">
      <w:pPr>
        <w:spacing w:after="0" w:line="240" w:lineRule="auto"/>
      </w:pPr>
      <w:r>
        <w:separator/>
      </w:r>
    </w:p>
  </w:footnote>
  <w:footnote w:type="continuationSeparator" w:id="0">
    <w:p w:rsidR="000B661B" w:rsidRDefault="000B66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38FE" w:rsidRDefault="00E538FE" w:rsidP="00E538FE">
    <w:pPr>
      <w:pStyle w:val="NormalWeb"/>
    </w:pPr>
    <w:r>
      <w:rPr>
        <w:noProof/>
      </w:rPr>
      <w:drawing>
        <wp:anchor distT="0" distB="0" distL="114300" distR="114300" simplePos="0" relativeHeight="251658240" behindDoc="1" locked="0" layoutInCell="1" allowOverlap="1">
          <wp:simplePos x="0" y="0"/>
          <wp:positionH relativeFrom="margin">
            <wp:align>center</wp:align>
          </wp:positionH>
          <wp:positionV relativeFrom="paragraph">
            <wp:posOffset>-392430</wp:posOffset>
          </wp:positionV>
          <wp:extent cx="1800225" cy="882015"/>
          <wp:effectExtent l="0" t="0" r="9525" b="0"/>
          <wp:wrapTight wrapText="bothSides">
            <wp:wrapPolygon edited="0">
              <wp:start x="0" y="0"/>
              <wp:lineTo x="0" y="20994"/>
              <wp:lineTo x="21486" y="20994"/>
              <wp:lineTo x="21486" y="0"/>
              <wp:lineTo x="0" y="0"/>
            </wp:wrapPolygon>
          </wp:wrapTight>
          <wp:docPr id="2" name="Imagem 2" descr="C:\Users\Sony\AppData\Local\Packages\Microsoft.Windows.Photos_8wekyb3d8bbwe\TempState\ShareServiceTempFolder\logo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ny\AppData\Local\Packages\Microsoft.Windows.Photos_8wekyb3d8bbwe\TempState\ShareServiceTempFolder\logo2.jpe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00225" cy="8820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21548" w:rsidRDefault="00221548">
    <w:pPr>
      <w:pStyle w:val="Cabealho"/>
      <w:jc w:val="cent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294E19"/>
    <w:multiLevelType w:val="multilevel"/>
    <w:tmpl w:val="9A006CE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5722004C"/>
    <w:multiLevelType w:val="multilevel"/>
    <w:tmpl w:val="469AEDD4"/>
    <w:lvl w:ilvl="0">
      <w:start w:val="1"/>
      <w:numFmt w:val="bullet"/>
      <w:lvlText w:val=""/>
      <w:lvlJc w:val="left"/>
      <w:pPr>
        <w:ind w:left="1712" w:hanging="360"/>
      </w:pPr>
      <w:rPr>
        <w:rFonts w:ascii="Symbol" w:hAnsi="Symbol" w:cs="Symbol" w:hint="default"/>
      </w:rPr>
    </w:lvl>
    <w:lvl w:ilvl="1">
      <w:start w:val="1"/>
      <w:numFmt w:val="bullet"/>
      <w:lvlText w:val="o"/>
      <w:lvlJc w:val="left"/>
      <w:pPr>
        <w:ind w:left="2432" w:hanging="360"/>
      </w:pPr>
      <w:rPr>
        <w:rFonts w:ascii="Courier New" w:hAnsi="Courier New" w:cs="Courier New" w:hint="default"/>
      </w:rPr>
    </w:lvl>
    <w:lvl w:ilvl="2">
      <w:start w:val="1"/>
      <w:numFmt w:val="bullet"/>
      <w:lvlText w:val=""/>
      <w:lvlJc w:val="left"/>
      <w:pPr>
        <w:ind w:left="3152" w:hanging="360"/>
      </w:pPr>
      <w:rPr>
        <w:rFonts w:ascii="Wingdings" w:hAnsi="Wingdings" w:cs="Wingdings" w:hint="default"/>
      </w:rPr>
    </w:lvl>
    <w:lvl w:ilvl="3">
      <w:start w:val="1"/>
      <w:numFmt w:val="bullet"/>
      <w:lvlText w:val=""/>
      <w:lvlJc w:val="left"/>
      <w:pPr>
        <w:ind w:left="3872" w:hanging="360"/>
      </w:pPr>
      <w:rPr>
        <w:rFonts w:ascii="Symbol" w:hAnsi="Symbol" w:cs="Symbol" w:hint="default"/>
      </w:rPr>
    </w:lvl>
    <w:lvl w:ilvl="4">
      <w:start w:val="1"/>
      <w:numFmt w:val="bullet"/>
      <w:lvlText w:val="o"/>
      <w:lvlJc w:val="left"/>
      <w:pPr>
        <w:ind w:left="4592" w:hanging="360"/>
      </w:pPr>
      <w:rPr>
        <w:rFonts w:ascii="Courier New" w:hAnsi="Courier New" w:cs="Wingdings" w:hint="default"/>
      </w:rPr>
    </w:lvl>
    <w:lvl w:ilvl="5">
      <w:start w:val="1"/>
      <w:numFmt w:val="bullet"/>
      <w:lvlText w:val=""/>
      <w:lvlJc w:val="left"/>
      <w:pPr>
        <w:ind w:left="5312" w:hanging="360"/>
      </w:pPr>
      <w:rPr>
        <w:rFonts w:ascii="Wingdings" w:hAnsi="Wingdings" w:cs="Wingdings" w:hint="default"/>
      </w:rPr>
    </w:lvl>
    <w:lvl w:ilvl="6">
      <w:start w:val="1"/>
      <w:numFmt w:val="bullet"/>
      <w:lvlText w:val=""/>
      <w:lvlJc w:val="left"/>
      <w:pPr>
        <w:ind w:left="6032" w:hanging="360"/>
      </w:pPr>
      <w:rPr>
        <w:rFonts w:ascii="Symbol" w:hAnsi="Symbol" w:cs="Symbol" w:hint="default"/>
      </w:rPr>
    </w:lvl>
    <w:lvl w:ilvl="7">
      <w:start w:val="1"/>
      <w:numFmt w:val="bullet"/>
      <w:lvlText w:val="o"/>
      <w:lvlJc w:val="left"/>
      <w:pPr>
        <w:ind w:left="6752" w:hanging="360"/>
      </w:pPr>
      <w:rPr>
        <w:rFonts w:ascii="Courier New" w:hAnsi="Courier New" w:cs="Symbol" w:hint="default"/>
      </w:rPr>
    </w:lvl>
    <w:lvl w:ilvl="8">
      <w:start w:val="1"/>
      <w:numFmt w:val="bullet"/>
      <w:lvlText w:val=""/>
      <w:lvlJc w:val="left"/>
      <w:pPr>
        <w:ind w:left="7472"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548"/>
    <w:rsid w:val="000265D0"/>
    <w:rsid w:val="000B661B"/>
    <w:rsid w:val="000F573D"/>
    <w:rsid w:val="00221548"/>
    <w:rsid w:val="00234B56"/>
    <w:rsid w:val="00262F1A"/>
    <w:rsid w:val="002B30DC"/>
    <w:rsid w:val="002E1B34"/>
    <w:rsid w:val="00404CCC"/>
    <w:rsid w:val="00456194"/>
    <w:rsid w:val="00514D93"/>
    <w:rsid w:val="00525D99"/>
    <w:rsid w:val="005A6DF4"/>
    <w:rsid w:val="005E29CA"/>
    <w:rsid w:val="00650807"/>
    <w:rsid w:val="00703037"/>
    <w:rsid w:val="007103DA"/>
    <w:rsid w:val="0072073A"/>
    <w:rsid w:val="007A1318"/>
    <w:rsid w:val="00863BC5"/>
    <w:rsid w:val="00893318"/>
    <w:rsid w:val="008B5CF4"/>
    <w:rsid w:val="008B650B"/>
    <w:rsid w:val="00950C1D"/>
    <w:rsid w:val="00951376"/>
    <w:rsid w:val="009D1383"/>
    <w:rsid w:val="00A140FB"/>
    <w:rsid w:val="00AA47CA"/>
    <w:rsid w:val="00CD2A1D"/>
    <w:rsid w:val="00CE2099"/>
    <w:rsid w:val="00D3659E"/>
    <w:rsid w:val="00D94757"/>
    <w:rsid w:val="00DB0A4B"/>
    <w:rsid w:val="00DE2F37"/>
    <w:rsid w:val="00E50827"/>
    <w:rsid w:val="00E538FE"/>
    <w:rsid w:val="00E803CC"/>
    <w:rsid w:val="00EC395A"/>
    <w:rsid w:val="00F322F2"/>
    <w:rsid w:val="00FB0CD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7DD20E"/>
  <w15:docId w15:val="{3BBBA249-1AB9-4DDB-9853-2979BFD03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069F"/>
    <w:pPr>
      <w:spacing w:after="200" w:line="276" w:lineRule="auto"/>
    </w:pPr>
    <w:rPr>
      <w:rFonts w:cs="Times New Roman"/>
      <w:color w:val="00000A"/>
      <w:sz w:val="22"/>
      <w:lang w:val="pt-BR"/>
    </w:rPr>
  </w:style>
  <w:style w:type="paragraph" w:styleId="Ttulo1">
    <w:name w:val="heading 1"/>
    <w:basedOn w:val="Heading"/>
    <w:qFormat/>
    <w:pPr>
      <w:outlineLvl w:val="0"/>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InternetLink">
    <w:name w:val="Internet Link"/>
    <w:uiPriority w:val="99"/>
    <w:unhideWhenUsed/>
    <w:rsid w:val="00CC069F"/>
    <w:rPr>
      <w:color w:val="0000FF"/>
      <w:u w:val="single"/>
    </w:rPr>
  </w:style>
  <w:style w:type="character" w:styleId="Forte">
    <w:name w:val="Strong"/>
    <w:uiPriority w:val="22"/>
    <w:qFormat/>
    <w:rsid w:val="00CC069F"/>
    <w:rPr>
      <w:b/>
      <w:bCs/>
    </w:rPr>
  </w:style>
  <w:style w:type="character" w:customStyle="1" w:styleId="CabealhoChar">
    <w:name w:val="Cabeçalho Char"/>
    <w:basedOn w:val="Fontepargpadro"/>
    <w:link w:val="Cabealho"/>
    <w:uiPriority w:val="99"/>
    <w:qFormat/>
    <w:rsid w:val="00CC069F"/>
    <w:rPr>
      <w:rFonts w:ascii="Calibri" w:eastAsia="Calibri" w:hAnsi="Calibri" w:cs="Times New Roman"/>
      <w:lang w:val="pt-BR"/>
    </w:rPr>
  </w:style>
  <w:style w:type="character" w:customStyle="1" w:styleId="RodapChar">
    <w:name w:val="Rodapé Char"/>
    <w:basedOn w:val="Fontepargpadro"/>
    <w:link w:val="Rodap"/>
    <w:uiPriority w:val="99"/>
    <w:qFormat/>
    <w:rsid w:val="00CC069F"/>
    <w:rPr>
      <w:rFonts w:ascii="Calibri" w:eastAsia="Calibri" w:hAnsi="Calibri" w:cs="Times New Roman"/>
      <w:lang w:val="pt-BR"/>
    </w:rPr>
  </w:style>
  <w:style w:type="character" w:customStyle="1" w:styleId="TextodebaloChar">
    <w:name w:val="Texto de balão Char"/>
    <w:basedOn w:val="Fontepargpadro"/>
    <w:link w:val="Textodebalo"/>
    <w:uiPriority w:val="99"/>
    <w:semiHidden/>
    <w:qFormat/>
    <w:rsid w:val="00CC069F"/>
    <w:rPr>
      <w:rFonts w:ascii="Tahoma" w:eastAsia="Calibri" w:hAnsi="Tahoma" w:cs="Tahoma"/>
      <w:sz w:val="16"/>
      <w:szCs w:val="16"/>
      <w:lang w:val="pt-BR"/>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WW8Num2z0">
    <w:name w:val="WW8Num2z0"/>
    <w:qFormat/>
    <w:rPr>
      <w:rFonts w:ascii="Symbol" w:eastAsia="Times New Roman" w:hAnsi="Symbol" w:cs="Symbol"/>
      <w:sz w:val="24"/>
      <w:szCs w:val="24"/>
      <w:lang w:eastAsia="pt-BR"/>
    </w:rPr>
  </w:style>
  <w:style w:type="character" w:customStyle="1" w:styleId="WW8Num2z1">
    <w:name w:val="WW8Num2z1"/>
    <w:qFormat/>
    <w:rPr>
      <w:rFonts w:ascii="Courier New" w:hAnsi="Courier New" w:cs="Courier New"/>
    </w:rPr>
  </w:style>
  <w:style w:type="character" w:customStyle="1" w:styleId="WW8Num2z2">
    <w:name w:val="WW8Num2z2"/>
    <w:qFormat/>
    <w:rPr>
      <w:rFonts w:ascii="Wingdings" w:hAnsi="Wingdings" w:cs="Wingdings"/>
    </w:rPr>
  </w:style>
  <w:style w:type="character" w:customStyle="1" w:styleId="WW8Num4z0">
    <w:name w:val="WW8Num4z0"/>
    <w:qFormat/>
    <w:rPr>
      <w:rFonts w:ascii="Symbol" w:eastAsia="Times New Roman" w:hAnsi="Symbol" w:cs="Symbol"/>
      <w:sz w:val="24"/>
      <w:szCs w:val="24"/>
      <w:lang w:eastAsia="pt-BR"/>
    </w:rPr>
  </w:style>
  <w:style w:type="character" w:customStyle="1" w:styleId="WW8Num4z1">
    <w:name w:val="WW8Num4z1"/>
    <w:qFormat/>
    <w:rPr>
      <w:rFonts w:ascii="Courier New" w:hAnsi="Courier New" w:cs="Courier New"/>
    </w:rPr>
  </w:style>
  <w:style w:type="character" w:customStyle="1" w:styleId="WW8Num4z2">
    <w:name w:val="WW8Num4z2"/>
    <w:qFormat/>
    <w:rPr>
      <w:rFonts w:ascii="Wingdings" w:hAnsi="Wingdings" w:cs="Wingdings"/>
    </w:rPr>
  </w:style>
  <w:style w:type="character" w:customStyle="1" w:styleId="WW8Num5z0">
    <w:name w:val="WW8Num5z0"/>
    <w:qFormat/>
    <w:rPr>
      <w:rFonts w:ascii="Symbol" w:hAnsi="Symbol" w:cs="Symbol"/>
      <w:sz w:val="24"/>
      <w:szCs w:val="24"/>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3z0">
    <w:name w:val="WW8Num3z0"/>
    <w:qFormat/>
    <w:rPr>
      <w:rFonts w:ascii="Symbol" w:hAnsi="Symbol" w:cs="Symbol"/>
      <w:sz w:val="24"/>
      <w:szCs w:val="24"/>
    </w:rPr>
  </w:style>
  <w:style w:type="character" w:customStyle="1" w:styleId="WW8Num3z1">
    <w:name w:val="WW8Num3z1"/>
    <w:qFormat/>
    <w:rPr>
      <w:rFonts w:ascii="Courier New" w:hAnsi="Courier New" w:cs="Courier New"/>
    </w:rPr>
  </w:style>
  <w:style w:type="character" w:customStyle="1" w:styleId="WW8Num3z2">
    <w:name w:val="WW8Num3z2"/>
    <w:qFormat/>
    <w:rPr>
      <w:rFonts w:ascii="Wingdings" w:hAnsi="Wingdings" w:cs="Wingdings"/>
    </w:rPr>
  </w:style>
  <w:style w:type="character" w:customStyle="1" w:styleId="VisitedInternetLink">
    <w:name w:val="Visited Internet Link"/>
    <w:rPr>
      <w:color w:val="800080"/>
      <w:u w:val="single"/>
    </w:rPr>
  </w:style>
  <w:style w:type="character" w:customStyle="1" w:styleId="StrongEmphasis">
    <w:name w:val="Strong Emphasis"/>
    <w:qFormat/>
    <w:rPr>
      <w:b/>
      <w:bCs/>
    </w:rPr>
  </w:style>
  <w:style w:type="character" w:customStyle="1" w:styleId="ListLabel7">
    <w:name w:val="ListLabel 7"/>
    <w:qFormat/>
    <w:rPr>
      <w:rFonts w:cs="Symbol"/>
      <w:sz w:val="24"/>
      <w:szCs w:val="24"/>
      <w:lang w:eastAsia="pt-BR"/>
    </w:rPr>
  </w:style>
  <w:style w:type="character" w:customStyle="1" w:styleId="ListLabel8">
    <w:name w:val="ListLabel 8"/>
    <w:qFormat/>
    <w:rPr>
      <w:rFonts w:cs="Symbol"/>
      <w:sz w:val="24"/>
      <w:szCs w:val="24"/>
      <w:lang w:eastAsia="pt-BR"/>
    </w:rPr>
  </w:style>
  <w:style w:type="character" w:customStyle="1" w:styleId="ListLabel9">
    <w:name w:val="ListLabel 9"/>
    <w:qFormat/>
    <w:rPr>
      <w:rFonts w:cs="Symbol"/>
      <w:sz w:val="24"/>
      <w:szCs w:val="24"/>
    </w:rPr>
  </w:style>
  <w:style w:type="character" w:customStyle="1" w:styleId="ListLabel10">
    <w:name w:val="ListLabel 10"/>
    <w:qFormat/>
    <w:rPr>
      <w:rFonts w:cs="Symbol"/>
      <w:sz w:val="24"/>
      <w:szCs w:val="24"/>
    </w:rPr>
  </w:style>
  <w:style w:type="character" w:customStyle="1" w:styleId="WW8Num10z0">
    <w:name w:val="WW8Num10z0"/>
    <w:qFormat/>
    <w:rPr>
      <w:rFonts w:ascii="Symbol" w:hAnsi="Symbol" w:cs="Symbol"/>
      <w:sz w:val="24"/>
      <w:szCs w:val="24"/>
    </w:rPr>
  </w:style>
  <w:style w:type="character" w:customStyle="1" w:styleId="WW8Num10z1">
    <w:name w:val="WW8Num10z1"/>
    <w:qFormat/>
    <w:rPr>
      <w:rFonts w:ascii="Courier New" w:hAnsi="Courier New" w:cs="Courier New"/>
    </w:rPr>
  </w:style>
  <w:style w:type="character" w:customStyle="1" w:styleId="WW8Num10z2">
    <w:name w:val="WW8Num10z2"/>
    <w:qFormat/>
    <w:rPr>
      <w:rFonts w:ascii="Wingdings" w:hAnsi="Wingdings" w:cs="Wingdings"/>
    </w:rPr>
  </w:style>
  <w:style w:type="character" w:customStyle="1" w:styleId="ListLabel11">
    <w:name w:val="ListLabel 11"/>
    <w:qFormat/>
    <w:rPr>
      <w:rFonts w:cs="Symbol"/>
      <w:sz w:val="24"/>
      <w:szCs w:val="24"/>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8">
    <w:name w:val="ListLabel 18"/>
    <w:qFormat/>
    <w:rPr>
      <w:rFonts w:cs="Symbol"/>
    </w:rPr>
  </w:style>
  <w:style w:type="character" w:customStyle="1" w:styleId="ListLabel19">
    <w:name w:val="ListLabel 19"/>
    <w:qFormat/>
    <w:rPr>
      <w:rFonts w:cs="Courier New"/>
    </w:rPr>
  </w:style>
  <w:style w:type="character" w:customStyle="1" w:styleId="ListLabel20">
    <w:name w:val="ListLabel 20"/>
    <w:qFormat/>
    <w:rPr>
      <w:rFonts w:cs="Wingdings"/>
    </w:rPr>
  </w:style>
  <w:style w:type="character" w:customStyle="1" w:styleId="ListLabel21">
    <w:name w:val="ListLabel 21"/>
    <w:qFormat/>
    <w:rPr>
      <w:rFonts w:cs="Symbol"/>
    </w:rPr>
  </w:style>
  <w:style w:type="character" w:customStyle="1" w:styleId="ListLabel22">
    <w:name w:val="ListLabel 22"/>
    <w:qFormat/>
    <w:rPr>
      <w:rFonts w:cs="Courier New"/>
    </w:rPr>
  </w:style>
  <w:style w:type="character" w:customStyle="1" w:styleId="ListLabel23">
    <w:name w:val="ListLabel 23"/>
    <w:qFormat/>
    <w:rPr>
      <w:rFonts w:cs="Wingdings"/>
    </w:rPr>
  </w:style>
  <w:style w:type="character" w:customStyle="1" w:styleId="ListLabel24">
    <w:name w:val="ListLabel 24"/>
    <w:qFormat/>
    <w:rPr>
      <w:rFonts w:cs="Symbol"/>
    </w:rPr>
  </w:style>
  <w:style w:type="character" w:customStyle="1" w:styleId="ListLabel25">
    <w:name w:val="ListLabel 25"/>
    <w:qFormat/>
    <w:rPr>
      <w:rFonts w:cs="Courier New"/>
    </w:rPr>
  </w:style>
  <w:style w:type="character" w:customStyle="1" w:styleId="ListLabel26">
    <w:name w:val="ListLabel 26"/>
    <w:qFormat/>
    <w:rPr>
      <w:rFonts w:cs="Wingdings"/>
    </w:rPr>
  </w:style>
  <w:style w:type="character" w:customStyle="1" w:styleId="ListLabel27">
    <w:name w:val="ListLabel 27"/>
    <w:qFormat/>
    <w:rPr>
      <w:rFonts w:cs="Symbol"/>
    </w:rPr>
  </w:style>
  <w:style w:type="character" w:customStyle="1" w:styleId="ListLabel28">
    <w:name w:val="ListLabel 28"/>
    <w:qFormat/>
    <w:rPr>
      <w:rFonts w:cs="Courier New"/>
    </w:rPr>
  </w:style>
  <w:style w:type="character" w:customStyle="1" w:styleId="ListLabel29">
    <w:name w:val="ListLabel 29"/>
    <w:qFormat/>
    <w:rPr>
      <w:rFonts w:cs="Wingdings"/>
    </w:rPr>
  </w:style>
  <w:style w:type="character" w:customStyle="1" w:styleId="ListLabel30">
    <w:name w:val="ListLabel 30"/>
    <w:qFormat/>
    <w:rPr>
      <w:rFonts w:cs="Symbol"/>
    </w:rPr>
  </w:style>
  <w:style w:type="character" w:customStyle="1" w:styleId="ListLabel31">
    <w:name w:val="ListLabel 31"/>
    <w:qFormat/>
    <w:rPr>
      <w:rFonts w:cs="Courier New"/>
    </w:rPr>
  </w:style>
  <w:style w:type="character" w:customStyle="1" w:styleId="ListLabel32">
    <w:name w:val="ListLabel 32"/>
    <w:qFormat/>
    <w:rPr>
      <w:rFonts w:cs="Wingdings"/>
    </w:rPr>
  </w:style>
  <w:style w:type="character" w:customStyle="1" w:styleId="ListLabel33">
    <w:name w:val="ListLabel 33"/>
    <w:qFormat/>
    <w:rPr>
      <w:rFonts w:cs="Symbol"/>
    </w:rPr>
  </w:style>
  <w:style w:type="character" w:customStyle="1" w:styleId="ListLabel34">
    <w:name w:val="ListLabel 34"/>
    <w:qFormat/>
    <w:rPr>
      <w:rFonts w:cs="Courier New"/>
    </w:rPr>
  </w:style>
  <w:style w:type="character" w:customStyle="1" w:styleId="ListLabel35">
    <w:name w:val="ListLabel 35"/>
    <w:qFormat/>
    <w:rPr>
      <w:rFonts w:cs="Wingdings"/>
    </w:rPr>
  </w:style>
  <w:style w:type="paragraph" w:customStyle="1" w:styleId="Heading">
    <w:name w:val="Heading"/>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88" w:lineRule="auto"/>
    </w:pPr>
  </w:style>
  <w:style w:type="paragraph" w:styleId="Lista">
    <w:name w:val="List"/>
    <w:basedOn w:val="Corpodetexto"/>
    <w:rPr>
      <w:rFonts w:cs="Arial"/>
    </w:rPr>
  </w:style>
  <w:style w:type="paragraph" w:styleId="Legenda">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styleId="Cabealho">
    <w:name w:val="header"/>
    <w:basedOn w:val="Normal"/>
    <w:link w:val="CabealhoChar"/>
    <w:uiPriority w:val="99"/>
    <w:unhideWhenUsed/>
    <w:rsid w:val="00CC069F"/>
    <w:pPr>
      <w:tabs>
        <w:tab w:val="center" w:pos="4419"/>
        <w:tab w:val="right" w:pos="8838"/>
      </w:tabs>
      <w:spacing w:after="0" w:line="240" w:lineRule="auto"/>
    </w:pPr>
  </w:style>
  <w:style w:type="paragraph" w:styleId="Rodap">
    <w:name w:val="footer"/>
    <w:basedOn w:val="Normal"/>
    <w:link w:val="RodapChar"/>
    <w:uiPriority w:val="99"/>
    <w:unhideWhenUsed/>
    <w:rsid w:val="00CC069F"/>
    <w:pPr>
      <w:tabs>
        <w:tab w:val="center" w:pos="4419"/>
        <w:tab w:val="right" w:pos="8838"/>
      </w:tabs>
      <w:spacing w:after="0" w:line="240" w:lineRule="auto"/>
    </w:pPr>
  </w:style>
  <w:style w:type="paragraph" w:styleId="Textodebalo">
    <w:name w:val="Balloon Text"/>
    <w:basedOn w:val="Normal"/>
    <w:link w:val="TextodebaloChar"/>
    <w:uiPriority w:val="99"/>
    <w:semiHidden/>
    <w:unhideWhenUsed/>
    <w:qFormat/>
    <w:rsid w:val="00CC069F"/>
    <w:pPr>
      <w:spacing w:after="0" w:line="240" w:lineRule="auto"/>
    </w:pPr>
    <w:rPr>
      <w:rFonts w:ascii="Tahoma" w:hAnsi="Tahoma" w:cs="Tahoma"/>
      <w:sz w:val="16"/>
      <w:szCs w:val="16"/>
    </w:rPr>
  </w:style>
  <w:style w:type="paragraph" w:customStyle="1" w:styleId="Default">
    <w:name w:val="Default"/>
    <w:qFormat/>
    <w:rPr>
      <w:rFonts w:cs="Calibri"/>
      <w:color w:val="000000"/>
      <w:sz w:val="24"/>
      <w:szCs w:val="24"/>
      <w:lang w:val="pt-BR"/>
    </w:rPr>
  </w:style>
  <w:style w:type="paragraph" w:styleId="PargrafodaLista">
    <w:name w:val="List Paragraph"/>
    <w:basedOn w:val="Normal"/>
    <w:qFormat/>
    <w:pPr>
      <w:ind w:left="708"/>
    </w:pPr>
  </w:style>
  <w:style w:type="paragraph" w:customStyle="1" w:styleId="Standard">
    <w:name w:val="Standard"/>
    <w:qFormat/>
    <w:pPr>
      <w:widowControl w:val="0"/>
      <w:suppressAutoHyphens/>
      <w:textAlignment w:val="baseline"/>
    </w:pPr>
    <w:rPr>
      <w:rFonts w:ascii="Liberation Serif;Times New Roma" w:eastAsia="SimSun;宋体" w:hAnsi="Liberation Serif;Times New Roma" w:cs="Arial Unicode MS"/>
      <w:color w:val="00000A"/>
      <w:sz w:val="24"/>
      <w:szCs w:val="24"/>
      <w:lang w:eastAsia="zh-CN" w:bidi="hi-IN"/>
    </w:rPr>
  </w:style>
  <w:style w:type="numbering" w:customStyle="1" w:styleId="WW8Num2">
    <w:name w:val="WW8Num2"/>
    <w:qFormat/>
  </w:style>
  <w:style w:type="numbering" w:customStyle="1" w:styleId="WW8Num4">
    <w:name w:val="WW8Num4"/>
    <w:qFormat/>
  </w:style>
  <w:style w:type="numbering" w:customStyle="1" w:styleId="WW8Num5">
    <w:name w:val="WW8Num5"/>
    <w:qFormat/>
  </w:style>
  <w:style w:type="numbering" w:customStyle="1" w:styleId="WW8Num3">
    <w:name w:val="WW8Num3"/>
    <w:qFormat/>
  </w:style>
  <w:style w:type="numbering" w:customStyle="1" w:styleId="WW8Num10">
    <w:name w:val="WW8Num10"/>
    <w:qFormat/>
  </w:style>
  <w:style w:type="paragraph" w:styleId="NormalWeb">
    <w:name w:val="Normal (Web)"/>
    <w:basedOn w:val="Normal"/>
    <w:uiPriority w:val="99"/>
    <w:semiHidden/>
    <w:unhideWhenUsed/>
    <w:rsid w:val="00E538FE"/>
    <w:pPr>
      <w:spacing w:before="100" w:beforeAutospacing="1" w:after="100" w:afterAutospacing="1" w:line="240" w:lineRule="auto"/>
    </w:pPr>
    <w:rPr>
      <w:rFonts w:ascii="Times New Roman" w:eastAsia="Times New Roman" w:hAnsi="Times New Roman"/>
      <w:color w:val="auto"/>
      <w:sz w:val="24"/>
      <w:szCs w:val="24"/>
      <w:lang w:eastAsia="pt-BR"/>
    </w:rPr>
  </w:style>
  <w:style w:type="character" w:styleId="Hyperlink">
    <w:name w:val="Hyperlink"/>
    <w:basedOn w:val="Fontepargpadro"/>
    <w:uiPriority w:val="99"/>
    <w:unhideWhenUsed/>
    <w:rsid w:val="00650807"/>
    <w:rPr>
      <w:color w:val="0000FF" w:themeColor="hyperlink"/>
      <w:u w:val="single"/>
    </w:rPr>
  </w:style>
  <w:style w:type="character" w:customStyle="1" w:styleId="txtnegritoazul">
    <w:name w:val="txtnegritoazul"/>
    <w:basedOn w:val="Fontepargpadro"/>
    <w:rsid w:val="00525D99"/>
  </w:style>
  <w:style w:type="character" w:customStyle="1" w:styleId="txtnegrito">
    <w:name w:val="txtnegrito"/>
    <w:basedOn w:val="Fontepargpadro"/>
    <w:rsid w:val="00525D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3198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leilaoinvestment.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2148</Words>
  <Characters>11601</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Convidado Us</dc:creator>
  <dc:description/>
  <cp:lastModifiedBy>OABSP</cp:lastModifiedBy>
  <cp:revision>2</cp:revision>
  <cp:lastPrinted>2024-06-10T01:16:00Z</cp:lastPrinted>
  <dcterms:created xsi:type="dcterms:W3CDTF">2026-01-28T20:29:00Z</dcterms:created>
  <dcterms:modified xsi:type="dcterms:W3CDTF">2026-01-28T20:29:00Z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