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sz w:val="28"/>
          <w:szCs w:val="28"/>
        </w:rPr>
      </w:pPr>
      <w:r w:rsidDel="00000000" w:rsidR="00000000" w:rsidRPr="00000000">
        <w:rPr>
          <w:b w:val="1"/>
          <w:bCs w:val="1"/>
          <w:sz w:val="28"/>
          <w:szCs w:val="28"/>
          <w:rtl w:val="0"/>
        </w:rPr>
        <w:t xml:space="preserve">EDITAL DE LEILÃO E INTIMAÇÃO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MM. Juiz de Direito da 5ª Vara Cível do Foro de Ribeirão Preto, na forma da lei, FAZ SABER a todos que será realizada a alienação judicial do bem imóvel abaixo descrito, sendo o leilão conduzido pelo Leiloeiro Oficial José Valero Santos Junior JUCESP nº 809, por meio do site</w:t>
      </w:r>
      <w:hyperlink r:id="rId7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 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, nos termos dos arts. 879 a 903 do Código de Processo Civil, conforme as condições deste edital:</w:t>
      </w:r>
    </w:p>
    <w:p w:rsidR="00000000" w:rsidDel="00000000" w:rsidP="00000000" w:rsidRDefault="00000000" w:rsidRPr="00000000" w14:paraId="00000004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Processo n°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1001678-97.2005.8.26.0506 - Procedimento Comum Cível</w:t>
      </w:r>
    </w:p>
    <w:p w:rsidR="00000000" w:rsidDel="00000000" w:rsidP="00000000" w:rsidRDefault="00000000" w:rsidRPr="00000000" w14:paraId="00000007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Débitos da ação: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R$286.362,76 (duzentos e oitenta e seis mil trezentos e sessenta e dois reais e setenta e seis centavos) em 12/2025.</w:t>
      </w:r>
    </w:p>
    <w:p w:rsidR="00000000" w:rsidDel="00000000" w:rsidP="00000000" w:rsidRDefault="00000000" w:rsidRPr="00000000" w14:paraId="00000008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Exequente(s)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Espolio de Jose Aparecido Hilario</w:t>
      </w:r>
    </w:p>
    <w:p w:rsidR="00000000" w:rsidDel="00000000" w:rsidP="00000000" w:rsidRDefault="00000000" w:rsidRPr="00000000" w14:paraId="00000009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Executado(s)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João Augusto da Palma</w:t>
      </w:r>
    </w:p>
    <w:p w:rsidR="00000000" w:rsidDel="00000000" w:rsidP="00000000" w:rsidRDefault="00000000" w:rsidRPr="00000000" w14:paraId="0000000A">
      <w:pPr>
        <w:spacing w:after="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Terceiro(s) interessado(s)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Liana Garcia da Palma</w:t>
      </w:r>
    </w:p>
    <w:p w:rsidR="00000000" w:rsidDel="00000000" w:rsidP="00000000" w:rsidRDefault="00000000" w:rsidRPr="00000000" w14:paraId="0000000B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C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DATA E HORA: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O leilão será realizado em duas praças, sendo a 1ª. praça com início em 04/05/2026 às 14:00, pelo valor mínimo correspondente a 100% do valor de avaliação, encerrando-se em 06/05/2026 às 14:00. A 2ª. praça terá início em 06/05/2026 às 14:01, pelo valor mínimo correspondente a 75% do valor de avaliação, encerrando-se em 25/05/2026 às 14:00.</w:t>
      </w:r>
    </w:p>
    <w:p w:rsidR="00000000" w:rsidDel="00000000" w:rsidP="00000000" w:rsidRDefault="00000000" w:rsidRPr="00000000" w14:paraId="0000000E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209.0" w:type="dxa"/>
        <w:jc w:val="left"/>
        <w:tblBorders>
          <w:top w:color="c9c9c9" w:space="0" w:sz="4" w:val="single"/>
          <w:left w:color="c9c9c9" w:space="0" w:sz="4" w:val="single"/>
          <w:bottom w:color="c9c9c9" w:space="0" w:sz="4" w:val="single"/>
          <w:right w:color="c9c9c9" w:space="0" w:sz="4" w:val="single"/>
          <w:insideH w:color="c9c9c9" w:space="0" w:sz="4" w:val="single"/>
          <w:insideV w:color="c9c9c9" w:space="0" w:sz="4" w:val="single"/>
        </w:tblBorders>
        <w:tblLayout w:type="fixed"/>
        <w:tblLook w:val="04A0"/>
      </w:tblPr>
      <w:tblGrid>
        <w:gridCol w:w="9209"/>
        <w:tblGridChange w:id="0">
          <w:tblGrid>
            <w:gridCol w:w="920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LOTE 1: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LEILÃO DE PROPRIEDADE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do imóvel localizado na Rua Major Arvelino V. de Andrade Palma nº 707, Ribeirânia, Ribeirão Preto SP</w:t>
            </w:r>
          </w:p>
          <w:p w:rsidR="00000000" w:rsidDel="00000000" w:rsidP="00000000" w:rsidRDefault="00000000" w:rsidRPr="00000000" w14:paraId="0000001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DESCRIÇÃO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Um terreno situado nesta cidade, constituído pelos lotes nos 23 e 24 da quadra no 102, do loteamento Ribeirânia, Gleba B, a Rua Lamartine Belém Barbosa, do lado ímpar, medindo 24,10 ms. de frente: 39,90 ms. de um lado, da frente ao fundo, confrontando com a Rua Major Avelino Vieira de Andrade Palma; 35,00 ms. do outro lado, onde confronta com o lote no 22 e 47,45 ms. nos fundos, onde confronta com os lotes nos 9, 10, 11 e 12, entre a Rua Major Avelino Vieira de Andrade Palma e área reservada - para Sistema de Recreio, encerrando a área superficial de 1.167,50 ms2.; cadastrado sob nos 18.369 e 18.368, na Prefeitura Municipal local.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both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MATRÍCULA DO IMÓVEL: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18.265 do 2º CRI de Ribeirão Preto/SP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  <w:t xml:space="preserve">CONTRIBUINTE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18.368</w:t>
            </w:r>
          </w:p>
          <w:p w:rsidR="00000000" w:rsidDel="00000000" w:rsidP="00000000" w:rsidRDefault="00000000" w:rsidRPr="00000000" w14:paraId="00000018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ÔNUS: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 Penhora registrada sob nº AV. 12/18265, em favor de Zilda Maria Dias, decorrente do processo nº 0060526-94.2005.8.26.0506/01, datada de 16 de agosto de 2018; Penhora registrada sob nº AV. 13/18265, em favor do Espólio de Moacir dos Santos Silva, decorrente do processo nº 1004346-41.2005.8.26.0506, datada de 23 de agosto de 2018; Penhora registrada sob nº AV. 15/18265, em favor de José Aparecido Hilario, decorrente do processo nº 1001678-97.2005.8.26.0506, datada de 30 de julho de 2024.</w:t>
            </w:r>
          </w:p>
          <w:p w:rsidR="00000000" w:rsidDel="00000000" w:rsidP="00000000" w:rsidRDefault="00000000" w:rsidRPr="00000000" w14:paraId="0000001A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B">
            <w:pPr>
              <w:spacing w:after="160" w:line="259" w:lineRule="auto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R$ 1.980.434,00 (um milhão novecentos e oitenta mil quatrocentos e trinta e quatro reais) em </w:t>
            </w:r>
            <w:r w:rsidDel="00000000" w:rsidR="00000000" w:rsidRPr="00000000">
              <w:rPr>
                <w:b w:val="0"/>
                <w:bCs w:val="0"/>
                <w:rtl w:val="0"/>
              </w:rPr>
              <w:t xml:space="preserve">01/03/2023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 ATUALIZADO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  R$ 2.235.023,65 (dois milhões duzentos e trinta e cinco mil e vinte e três reais e sessenta e cinco centavos) </w:t>
            </w:r>
            <w:r w:rsidDel="00000000" w:rsidR="00000000" w:rsidRPr="00000000">
              <w:rPr>
                <w:b w:val="0"/>
                <w:bCs w:val="0"/>
                <w:rtl w:val="0"/>
              </w:rPr>
              <w:t xml:space="preserve">01/03/2026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DÉBITOS TRIBUTÁRIOS: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Não foi possível a consulta a débitos fiscais, motivo pelo qual se faz necessária a intimação da municipalidade para prestar tal informação nos autos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0">
      <w:pPr>
        <w:rPr>
          <w:rFonts w:ascii="Calibri" w:cs="Calibri" w:eastAsia="Calibri" w:hAnsi="Calibri"/>
          <w:color w:val="000000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                          </w:t>
      </w:r>
    </w:p>
    <w:p w:rsidR="00000000" w:rsidDel="00000000" w:rsidP="00000000" w:rsidRDefault="00000000" w:rsidRPr="00000000" w14:paraId="00000021">
      <w:pPr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209.0" w:type="dxa"/>
        <w:jc w:val="left"/>
        <w:tblBorders>
          <w:top w:color="c9c9c9" w:space="0" w:sz="4" w:val="single"/>
          <w:left w:color="c9c9c9" w:space="0" w:sz="4" w:val="single"/>
          <w:bottom w:color="c9c9c9" w:space="0" w:sz="4" w:val="single"/>
          <w:right w:color="c9c9c9" w:space="0" w:sz="4" w:val="single"/>
          <w:insideH w:color="c9c9c9" w:space="0" w:sz="4" w:val="single"/>
          <w:insideV w:color="c9c9c9" w:space="0" w:sz="4" w:val="single"/>
        </w:tblBorders>
        <w:tblLayout w:type="fixed"/>
        <w:tblLook w:val="04A0"/>
      </w:tblPr>
      <w:tblGrid>
        <w:gridCol w:w="9209"/>
        <w:tblGridChange w:id="0">
          <w:tblGrid>
            <w:gridCol w:w="9209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LOTE 2: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LEILÃO DE PROPRIEDADE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do imóvel localizado em Lote 22 da Quadra 102- Ribeirânia, com frente para a Rua Lamartine Belém Barbosa</w:t>
            </w:r>
          </w:p>
          <w:p w:rsidR="00000000" w:rsidDel="00000000" w:rsidP="00000000" w:rsidRDefault="00000000" w:rsidRPr="00000000" w14:paraId="00000025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DESCRIÇÃO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Um terreno situado nesta cidade, constituído pelo lote no 22 da - quadra nº 102, do loteamento Ribeirânia - Gleba B, com frente para à Rua Lamartine Belém Barbosa, medindo 15,00 ms. na frente, por 35,00 ms. da frente aos fundos, de ambos os lados, confrontando de um lado com o lote nº 21, do outro com o lote nº 23 e nos fundos com partes dos lotes nos. - 07 e 08, com a área de 525,00 ms2., localizado do lado ímpar, entre a Rua 10 e o Sistema de Recreio, distante 15,00 ms.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8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MATRÍCULA DO IMÓVEL: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 11.335 do 2º CRI de Ribeirão Preto/SP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A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  <w:t xml:space="preserve">CONTRIBUINTE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 18.367</w:t>
            </w:r>
          </w:p>
          <w:p w:rsidR="00000000" w:rsidDel="00000000" w:rsidP="00000000" w:rsidRDefault="00000000" w:rsidRPr="00000000" w14:paraId="0000002B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C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ÔNUS: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 Não foram identificados ônus reais vigentes na matrícula.</w:t>
            </w:r>
          </w:p>
          <w:p w:rsidR="00000000" w:rsidDel="00000000" w:rsidP="00000000" w:rsidRDefault="00000000" w:rsidRPr="00000000" w14:paraId="0000002D">
            <w:pPr>
              <w:jc w:val="both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160" w:line="259" w:lineRule="auto"/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R$ 230.343,80 (duzentos e trinta mil trezentos e quarenta e três reais e oitenta centavos) em 10/07/2019</w:t>
            </w:r>
          </w:p>
          <w:p w:rsidR="00000000" w:rsidDel="00000000" w:rsidP="00000000" w:rsidRDefault="00000000" w:rsidRPr="00000000" w14:paraId="0000002F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VALOR DA AVALIAÇÃO ATUALIZADO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:  R$ 328.675,47 (trezentos e vinte e oito mil seiscentos e setenta e cinco reais e quarenta e sete centavos) em 01/03/2026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>
                <w:rFonts w:ascii="Calibri" w:cs="Calibri" w:eastAsia="Calibri" w:hAnsi="Calibri"/>
                <w:b w:val="0"/>
                <w:bCs w:val="0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DÉBITOS TRIBUTÁRIOS: </w:t>
            </w:r>
            <w:r w:rsidDel="00000000" w:rsidR="00000000" w:rsidRPr="00000000">
              <w:rPr>
                <w:rFonts w:ascii="Calibri" w:cs="Calibri" w:eastAsia="Calibri" w:hAnsi="Calibri"/>
                <w:b w:val="0"/>
                <w:bCs w:val="0"/>
                <w:rtl w:val="0"/>
              </w:rPr>
              <w:t xml:space="preserve">Não foi possível a consulta a débitos fiscais, motivo pelo qual se faz necessária a intimação da municipalidade para prestar tal informação nos autos</w:t>
            </w: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3">
      <w:pP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color w:val="000000"/>
          <w:rtl w:val="0"/>
        </w:rPr>
        <w:t xml:space="preserve">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DO BEM: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 imóvel</w:t>
      </w: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será vendido em caráter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ad corpus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no estado de conservação em que se encontra. Eventuais divergências entre a descrição e a situação fática não autorizam cancelamento da arrematação, abatimento de preço ou complemento de área, cabendo ao interessado a verificação prévia das condições do bem. </w:t>
      </w:r>
    </w:p>
    <w:p w:rsidR="00000000" w:rsidDel="00000000" w:rsidP="00000000" w:rsidRDefault="00000000" w:rsidRPr="00000000" w14:paraId="00000035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DA VENDA: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Será considerado arrematante aquele que der lance igual ou superior ao valor de avaliação (1ª Praça) ou aquele que der lance de valor igual ou superior a 75% (setenta e cinco por cento) do valor da avaliação (2ª Praça). Será considerado vencedor o licitante que ofertar o maior lance.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Ocorrendo propostas de idêntico valor, será considerada vencedora aquela que prever o menor número de parcelas. Persistindo a igualdade de condições, será declarada vencedora a proposta recebida em primeiro lugar, nos termos dos artigos 891 e 895, §§ 1º ao 8º, do CPC.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Caso sejam ofertados lances nos 3 (três) minutos finais dos leilões, o sistema prorrogará a disputa por mais 3 (três) minutos para que todos os participantes tenham a oportunidade de enviar novos lances.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567" w:right="0" w:hanging="207.00000000000003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Os lances ofertados são irretratáveis e irrevogáveis, tendo como incremento mínimo obrigatório o montante calculado e informado no site</w:t>
      </w: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ALIENAÇÃO DIRETA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Caso negativas as hastas designadas, fica autorizada desde logo a alienação direta pelo leiloeiro (art. 880, do CPC) durante o prazo de até 60 (sessenta) dias corridos, a contar do encerramento do 2º leilão, pelo preço não considerado vil, conforme art. 891, do CPC.</w:t>
      </w:r>
    </w:p>
    <w:p w:rsidR="00000000" w:rsidDel="00000000" w:rsidP="00000000" w:rsidRDefault="00000000" w:rsidRPr="00000000" w14:paraId="0000003A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PREFERÊNCIA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Havendo mais de um pretendente e em igualdade de oferta, o devedor ou respectivo cônjuge, companheiro, dependentes, descendente ou ascendente do executado e coproprietários, terão preferência na aquisição dos bens, nessa ordem (artigos 892, § 2º e 843, § 1º CPC). Tratando-se de penhora de bem indivisível, o equivalente à quota-parte do coproprietário ou do cônjuge alheio à execução recairá sobre o produto da alienação do bem, nos termos do art. 843, do CPC.</w:t>
      </w:r>
    </w:p>
    <w:p w:rsidR="00000000" w:rsidDel="00000000" w:rsidP="00000000" w:rsidRDefault="00000000" w:rsidRPr="00000000" w14:paraId="0000003B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CONDIÇÕES DE PARTICIPAÇÃO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Os interessados devem se cadastrar gratuitamente no site e encaminhar a documentação solicitada, cuja aprovação ou eventual complementação ficará a cargo exclusivo do leiloeiro, com antecedência mínima de 48h, para efetuar o lance, que será recebido, única e exclusivamente, pelo site  </w:t>
      </w:r>
      <w:hyperlink r:id="rId8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DO PAGAMENTO: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O arrematante deverá efetuar o pagamento da arrematação por meio de guia de depósito judicial em favor do Juízo (Art. 884, IV do CPC)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À VISTA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 no prazo de até 24 (vinte e quatro) horas. Após o encerramento da praça, o arrematante receberá e-mail com instruções para o pagamento. 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hanging="360"/>
        <w:jc w:val="both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PARCELADO: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Serão admitidos lances parcelados com 30% (trinta por cento) de entrada que deverá ser pago em até 24h (vinte e quatro horas) e o saldo residual em 30 (trinta) parcelas sucessivas e corrigidas pelo Índice deste E. Tribunal.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pagamento das parcelas deverá ser realizado diretamente pelo arrematante por meio de guia de depósito judicial vinculada à conta judicial do processo, o arrematante também deverá comprovar os respectivos pagamentos nos autos.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65" w:right="0" w:firstLine="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O próprio bem servirá de garantia de pagamento, ficando gravado com hipoteca judicial.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COM CRÉDITOS: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Se o exequente arrematar os bens e for o único credor, não estará obrigado a exibir o preço, mas, se o valor dos bens exceder ao seu crédito, depositará, dentro de 3 (três) dias, a diferença, sob pena de tornar-se sem efeito a arrematação, e, nesse caso, realizar-se-á novo leilão, à custa do exequente (artigo 892, §1º, CPC). </w:t>
      </w:r>
    </w:p>
    <w:p w:rsidR="00000000" w:rsidDel="00000000" w:rsidP="00000000" w:rsidRDefault="00000000" w:rsidRPr="00000000" w14:paraId="00000042">
      <w:pPr>
        <w:spacing w:before="240" w:line="240" w:lineRule="auto"/>
        <w:jc w:val="both"/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COMISSÃO DO LEILOEIRO: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 comissão do leiloeiro corresponderá a 5% (cinco por cento) sobre o valor da arrematação que deverá ser realizado pelo arrematante no prazo de até 24 (vinte e quatro) horas a contar do encerramento do leilão, por meio de transferência bancária ou PIX, na conta do Leiloeiro Oficial.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 comissão será devida pelo exequente nos casos de adjudicação do bem e pelo executado nos casos de acordo ou remição.</w:t>
      </w:r>
    </w:p>
    <w:p w:rsidR="00000000" w:rsidDel="00000000" w:rsidP="00000000" w:rsidRDefault="00000000" w:rsidRPr="00000000" w14:paraId="00000044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DA FALTA DE PAGAMENTO: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O não pagamento do preço do bem arrematado e da comissão do Leiloeiro, no prazo aqui estipulado, configurará desistência ou arrependimento por parte do arrematante. Nestes casos, o arrematante pode ser impedido de participar de novos leilões judiciais (art. 897, CPC), e obrigado a pagar o valor estabelecido de comissão ao Leiloeiro.</w:t>
      </w:r>
    </w:p>
    <w:p w:rsidR="00000000" w:rsidDel="00000000" w:rsidP="00000000" w:rsidRDefault="00000000" w:rsidRPr="00000000" w14:paraId="00000045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OBRIGAÇÕES DO ARREMATANTE: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Caberá ao arrematante arcar com todos os custos e tributos eventualmente incidentes sobre a arrematação e transferência do bem. Correrão também por sua conta os procedimentos de regularização, baixa de gravame e imissão na posse, além de despesas com remoção, desocupação e transporte.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Cabe ao interessado pesquisar e confirmar diretamente todas as informações contidas nesse edital, uma vez que pode haver divergência(s) quanto à efetiva situação do(s) bem(ns) leiloado(s) em relação ao disponibilizado no processo e/ou órgãos competentes.</w:t>
      </w:r>
    </w:p>
    <w:p w:rsidR="00000000" w:rsidDel="00000000" w:rsidP="00000000" w:rsidRDefault="00000000" w:rsidRPr="00000000" w14:paraId="00000047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DÉBITOS: 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A arrematação será considerada aquisição originária. Assim, os bens arrematados serão entregues ao arrematante, livres e desembaraçados de quaisquer ônus e débitos (até a data da expedição da carta de arrematação ou mandado de entrega), inclusive dívidas </w:t>
      </w:r>
      <w:r w:rsidDel="00000000" w:rsidR="00000000" w:rsidRPr="00000000">
        <w:rPr>
          <w:rFonts w:ascii="Calibri" w:cs="Calibri" w:eastAsia="Calibri" w:hAnsi="Calibri"/>
          <w:i w:val="1"/>
          <w:iCs w:val="1"/>
          <w:rtl w:val="0"/>
        </w:rPr>
        <w:t xml:space="preserve">propter rem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. Eventuais restrições e/ou limitações ao uso do bem arrematado (usufruto, ambiental e afins) permanecem mesmo após o leilão. Em relação aos débitos tributários (IPTU, ITR, IPVA e afins), será aplicada a norma prevista no art. 130, do CTN. Em relação aos débitos condominiais, será aplicada a norma prevista no art. 908, §1º do CPC, cabendo ao condomínio habilitar seu crédito junto aos autos do processo a que se refere o presente edital. </w:t>
      </w:r>
    </w:p>
    <w:p w:rsidR="00000000" w:rsidDel="00000000" w:rsidP="00000000" w:rsidRDefault="00000000" w:rsidRPr="00000000" w14:paraId="00000048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DÚVIDAS E ESCLARECIMENTOS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: e-mail contato</w:t>
      </w:r>
      <w:hyperlink r:id="rId9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@valeroleiloes.com.br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 e telefones 3003-0321 (discagem direta) e (16) 99603-5264.</w:t>
      </w:r>
    </w:p>
    <w:p w:rsidR="00000000" w:rsidDel="00000000" w:rsidP="00000000" w:rsidRDefault="00000000" w:rsidRPr="00000000" w14:paraId="00000049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PUBLICAÇÃO DO EDITAL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 - O edital será publicado na rede mundial de computadores, no sítio </w:t>
      </w:r>
      <w:hyperlink r:id="rId10">
        <w:r w:rsidDel="00000000" w:rsidR="00000000" w:rsidRPr="00000000">
          <w:rPr>
            <w:rFonts w:ascii="Calibri" w:cs="Calibri" w:eastAsia="Calibri" w:hAnsi="Calibri"/>
            <w:color w:val="0563c1"/>
            <w:u w:val="single"/>
            <w:rtl w:val="0"/>
          </w:rPr>
          <w:t xml:space="preserve">www.valeroleiloes.com.br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, bem como no PUBLICJUD, em conformidade com o disposto no art. 887, §2º, do CPC, inclusive as fotos e a descrição detalhada do imóvel a ser apregoado.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240" w:line="240" w:lineRule="auto"/>
        <w:ind w:left="765" w:right="0" w:hanging="360"/>
        <w:jc w:val="both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Nos termos do art. 7º, §3º da Resolução nº 236 do CNJ, em caso de cancelamento ou suspensão do praceamento após a publicação do edital, especialmente em razão de acordo entre as partes ou pagamento da dívida, será devido o reembolso das despesas suportadas pelo leiloeiro, que serão pagas pela parte requerida ou aquela que der causa ao cancelamento. </w:t>
      </w:r>
    </w:p>
    <w:p w:rsidR="00000000" w:rsidDel="00000000" w:rsidP="00000000" w:rsidRDefault="00000000" w:rsidRPr="00000000" w14:paraId="0000004B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Ficam, ainda, intimados pelo presente Edital os interessados relacionados nos incisos II a VIII do art. 889 do CPC (coproprietário de bem indivisível, o titular de usufruto, uso, habitação, enfiteuse, direito de superfície, concessão de uso especial para fins de moradia ou concessão de direito real de uso, o credor pignoratício, hipotecário, anticrético, fiduciário ou com penhora anteriormente averbada, o promitente comprador, o promitente vendedor, a União, o Estado e o Município), caso não sejam encontrados para intimação da hasta designada, para as datas, horários e local acima mencionados, bem assim dos termos da Penhora e da Avaliação realizadas nos Autos. </w:t>
      </w:r>
    </w:p>
    <w:p w:rsidR="00000000" w:rsidDel="00000000" w:rsidP="00000000" w:rsidRDefault="00000000" w:rsidRPr="00000000" w14:paraId="0000004C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Ribeirão Preto/SP, DATA</w:t>
      </w:r>
    </w:p>
    <w:p w:rsidR="00000000" w:rsidDel="00000000" w:rsidP="00000000" w:rsidRDefault="00000000" w:rsidRPr="00000000" w14:paraId="0000004E">
      <w:pPr>
        <w:spacing w:before="240" w:line="240" w:lineRule="auto"/>
        <w:jc w:val="both"/>
        <w:rPr>
          <w:rFonts w:ascii="Calibri" w:cs="Calibri" w:eastAsia="Calibri" w:hAnsi="Calibri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>
          <w:rFonts w:ascii="Calibri" w:cs="Calibri" w:eastAsia="Calibri" w:hAnsi="Calibri"/>
          <w:b w:val="1"/>
          <w:bCs w:val="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Dr.(a) MAYRA CALLEGARI GOMES DE ALMEIDA</w:t>
      </w:r>
    </w:p>
    <w:p w:rsidR="00000000" w:rsidDel="00000000" w:rsidP="00000000" w:rsidRDefault="00000000" w:rsidRPr="00000000" w14:paraId="00000050">
      <w:pPr>
        <w:rPr/>
      </w:pPr>
      <w:r w:rsidDel="00000000" w:rsidR="00000000" w:rsidRPr="00000000">
        <w:rPr>
          <w:rFonts w:ascii="Calibri" w:cs="Calibri" w:eastAsia="Calibri" w:hAnsi="Calibri"/>
          <w:b w:val="1"/>
          <w:bCs w:val="1"/>
          <w:rtl w:val="0"/>
        </w:rPr>
        <w:t xml:space="preserve">M.M. Juiz de Direito da 5ª Vara Cível do Foro de Ribeirão Preto.</w:t>
      </w:r>
      <w:r w:rsidDel="00000000" w:rsidR="00000000" w:rsidRPr="00000000">
        <w:rPr>
          <w:rtl w:val="0"/>
        </w:rPr>
      </w:r>
    </w:p>
    <w:sectPr>
      <w:headerReference r:id="rId11" w:type="default"/>
      <w:pgSz w:h="16838" w:w="11906" w:orient="portrait"/>
      <w:pgMar w:bottom="1702" w:top="2127" w:left="1418" w:right="141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WordPictureWatermark1" style="position:absolute;width:596.15pt;height:842.9pt;rotation:0;z-index:-503316481;mso-position-horizontal-relative:margin;mso-position-horizontal:absolute;margin-left:-71.34992125984252pt;mso-position-vertical-relative:margin;mso-position-vertical:absolute;margin-top:-106.2pt;" alt="" type="#_x0000_t75">
          <v:imagedata cropbottom="0f" cropleft="0f" cropright="0f" croptop="0f" r:id="rId1" o:title="image1.png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65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85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205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925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45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65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85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805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525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Rule="auto"/>
    </w:pPr>
    <w:rPr>
      <w:rFonts w:ascii="Calibri" w:cs="Calibri" w:eastAsia="Calibri" w:hAnsi="Calibri"/>
      <w:color w:val="2f5496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Rule="auto"/>
    </w:pPr>
    <w:rPr>
      <w:rFonts w:ascii="Calibri" w:cs="Calibri" w:eastAsia="Calibri" w:hAnsi="Calibri"/>
      <w:color w:val="2f5496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Rule="auto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Rule="auto"/>
    </w:pPr>
    <w:rPr>
      <w:i w:val="1"/>
      <w:iCs w:val="1"/>
      <w:color w:val="2f5496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Rule="auto"/>
    </w:pPr>
    <w:rPr>
      <w:color w:val="2f5496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i w:val="1"/>
      <w:iCs w:val="1"/>
      <w:color w:val="595959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Calibri" w:cs="Calibri" w:eastAsia="Calibri" w:hAnsi="Calibri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9332D9"/>
    <w:pPr>
      <w:keepNext w:val="1"/>
      <w:keepLines w:val="1"/>
      <w:spacing w:after="0" w:before="40"/>
      <w:outlineLvl w:val="6"/>
    </w:pPr>
    <w:rPr>
      <w:rFonts w:cstheme="majorBidi" w:eastAsiaTheme="majorEastAsia"/>
      <w:color w:val="595959" w:themeColor="text1" w:themeTint="0000A6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9332D9"/>
    <w:pPr>
      <w:keepNext w:val="1"/>
      <w:keepLines w:val="1"/>
      <w:spacing w:after="0"/>
      <w:outlineLvl w:val="7"/>
    </w:pPr>
    <w:rPr>
      <w:rFonts w:cstheme="majorBidi" w:eastAsiaTheme="majorEastAsia"/>
      <w:i w:val="1"/>
      <w:iCs w:val="1"/>
      <w:color w:val="272727" w:themeColor="text1" w:themeTint="0000D8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9332D9"/>
    <w:pPr>
      <w:keepNext w:val="1"/>
      <w:keepLines w:val="1"/>
      <w:spacing w:after="0"/>
      <w:outlineLvl w:val="8"/>
    </w:pPr>
    <w:rPr>
      <w:rFonts w:cstheme="majorBidi" w:eastAsiaTheme="majorEastAsia"/>
      <w:color w:val="272727" w:themeColor="text1" w:themeTint="0000D8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Ttulo1Char" w:customStyle="1">
    <w:name w:val="Título 1 Char"/>
    <w:basedOn w:val="Fontepargpadro"/>
    <w:link w:val="Ttulo1"/>
    <w:uiPriority w:val="9"/>
    <w:rsid w:val="009332D9"/>
    <w:rPr>
      <w:rFonts w:asciiTheme="majorHAnsi" w:cstheme="majorBidi" w:eastAsiaTheme="majorEastAsia" w:hAnsiTheme="majorHAnsi"/>
      <w:color w:val="2f5496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9332D9"/>
    <w:rPr>
      <w:rFonts w:asciiTheme="majorHAnsi" w:cstheme="majorBidi" w:eastAsiaTheme="majorEastAsia" w:hAnsiTheme="majorHAnsi"/>
      <w:color w:val="2f5496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9332D9"/>
    <w:rPr>
      <w:rFonts w:cstheme="majorBidi" w:eastAsiaTheme="majorEastAsia"/>
      <w:color w:val="2f5496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9332D9"/>
    <w:rPr>
      <w:rFonts w:cstheme="majorBidi" w:eastAsiaTheme="majorEastAsia"/>
      <w:i w:val="1"/>
      <w:iCs w:val="1"/>
      <w:color w:val="2f5496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9332D9"/>
    <w:rPr>
      <w:rFonts w:cstheme="majorBidi" w:eastAsiaTheme="majorEastAsia"/>
      <w:color w:val="2f5496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9332D9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9332D9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9332D9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9332D9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9332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9332D9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9332D9"/>
    <w:pPr>
      <w:spacing w:before="160"/>
      <w:jc w:val="center"/>
    </w:pPr>
    <w:rPr>
      <w:i w:val="1"/>
      <w:iCs w:val="1"/>
      <w:color w:val="404040" w:themeColor="text1" w:themeTint="0000BF"/>
    </w:rPr>
  </w:style>
  <w:style w:type="character" w:styleId="CitaoChar" w:customStyle="1">
    <w:name w:val="Citação Char"/>
    <w:basedOn w:val="Fontepargpadro"/>
    <w:link w:val="Citao"/>
    <w:uiPriority w:val="29"/>
    <w:rsid w:val="009332D9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9332D9"/>
    <w:pPr>
      <w:ind w:left="720"/>
      <w:contextualSpacing w:val="1"/>
    </w:pPr>
  </w:style>
  <w:style w:type="character" w:styleId="nfaseIntensa">
    <w:name w:val="Intense Emphasis"/>
    <w:basedOn w:val="Fontepargpadro"/>
    <w:uiPriority w:val="21"/>
    <w:qFormat w:val="1"/>
    <w:rsid w:val="009332D9"/>
    <w:rPr>
      <w:i w:val="1"/>
      <w:iCs w:val="1"/>
      <w:color w:val="2f5496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9332D9"/>
    <w:pPr>
      <w:pBdr>
        <w:top w:color="2f5496" w:space="10" w:sz="4" w:themeColor="accent1" w:themeShade="0000BF" w:val="single"/>
        <w:bottom w:color="2f5496" w:space="10" w:sz="4" w:themeColor="accent1" w:themeShade="0000BF" w:val="single"/>
      </w:pBdr>
      <w:spacing w:after="360" w:before="360"/>
      <w:ind w:left="864" w:right="864"/>
      <w:jc w:val="center"/>
    </w:pPr>
    <w:rPr>
      <w:i w:val="1"/>
      <w:iCs w:val="1"/>
      <w:color w:val="2f5496" w:themeColor="accent1" w:themeShade="0000BF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9332D9"/>
    <w:rPr>
      <w:i w:val="1"/>
      <w:iCs w:val="1"/>
      <w:color w:val="2f5496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9332D9"/>
    <w:rPr>
      <w:b w:val="1"/>
      <w:bCs w:val="1"/>
      <w:smallCaps w:val="1"/>
      <w:color w:val="2f5496" w:themeColor="accent1" w:themeShade="0000BF"/>
      <w:spacing w:val="5"/>
    </w:rPr>
  </w:style>
  <w:style w:type="character" w:styleId="Hyperlink">
    <w:name w:val="Hyperlink"/>
    <w:basedOn w:val="Fontepargpadro"/>
    <w:uiPriority w:val="99"/>
    <w:unhideWhenUsed w:val="1"/>
    <w:rsid w:val="009332D9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9332D9"/>
    <w:rPr>
      <w:color w:val="605e5c"/>
      <w:shd w:color="auto" w:fill="e1dfdd" w:val="clear"/>
    </w:rPr>
  </w:style>
  <w:style w:type="table" w:styleId="Tabelacomgrade">
    <w:name w:val="Table Grid"/>
    <w:basedOn w:val="Tabelanormal"/>
    <w:uiPriority w:val="39"/>
    <w:rsid w:val="004F0E51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deGrade4-nfase3">
    <w:name w:val="Grid Table 4 Accent 3"/>
    <w:basedOn w:val="Tabelanormal"/>
    <w:uiPriority w:val="49"/>
    <w:rsid w:val="007F330A"/>
    <w:pPr>
      <w:spacing w:after="0" w:line="240" w:lineRule="auto"/>
    </w:pPr>
    <w:tblPr>
      <w:tblStyleRowBandSize w:val="1"/>
      <w:tblStyleColBandSize w:val="1"/>
      <w:tblBorders>
        <w:top w:color="c9c9c9" w:space="0" w:sz="4" w:themeColor="accent3" w:themeTint="000099" w:val="single"/>
        <w:left w:color="c9c9c9" w:space="0" w:sz="4" w:themeColor="accent3" w:themeTint="000099" w:val="single"/>
        <w:bottom w:color="c9c9c9" w:space="0" w:sz="4" w:themeColor="accent3" w:themeTint="000099" w:val="single"/>
        <w:right w:color="c9c9c9" w:space="0" w:sz="4" w:themeColor="accent3" w:themeTint="000099" w:val="single"/>
        <w:insideH w:color="c9c9c9" w:space="0" w:sz="4" w:themeColor="accent3" w:themeTint="000099" w:val="single"/>
        <w:insideV w:color="c9c9c9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a5a5a5" w:space="0" w:sz="4" w:themeColor="accent3" w:val="single"/>
          <w:left w:color="a5a5a5" w:space="0" w:sz="4" w:themeColor="accent3" w:val="single"/>
          <w:bottom w:color="a5a5a5" w:space="0" w:sz="4" w:themeColor="accent3" w:val="single"/>
          <w:right w:color="a5a5a5" w:space="0" w:sz="4" w:themeColor="accent3" w:val="single"/>
          <w:insideH w:space="0" w:sz="0" w:val="nil"/>
          <w:insideV w:space="0" w:sz="0" w:val="nil"/>
        </w:tcBorders>
        <w:shd w:color="auto" w:fill="a5a5a5" w:themeFill="accent3" w:val="clear"/>
      </w:tcPr>
    </w:tblStylePr>
    <w:tblStylePr w:type="lastRow">
      <w:rPr>
        <w:b w:val="1"/>
        <w:bCs w:val="1"/>
      </w:rPr>
      <w:tblPr/>
      <w:tcPr>
        <w:tcBorders>
          <w:top w:color="a5a5a5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deded" w:themeFill="accent3" w:themeFillTint="000033" w:val="clear"/>
      </w:tcPr>
    </w:tblStylePr>
    <w:tblStylePr w:type="band1Horz">
      <w:tblPr/>
      <w:tcPr>
        <w:shd w:color="auto" w:fill="ededed" w:themeFill="accent3" w:themeFillTint="000033" w:val="clear"/>
      </w:tcPr>
    </w:tblStylePr>
  </w:style>
  <w:style w:type="paragraph" w:styleId="NormalWeb">
    <w:name w:val="Normal (Web)"/>
    <w:basedOn w:val="Normal"/>
    <w:uiPriority w:val="99"/>
    <w:semiHidden w:val="1"/>
    <w:unhideWhenUsed w:val="1"/>
    <w:rsid w:val="007C20A6"/>
    <w:rPr>
      <w:rFonts w:ascii="Times New Roman" w:cs="Times New Roman" w:hAnsi="Times New Roman"/>
      <w:sz w:val="24"/>
      <w:szCs w:val="24"/>
    </w:rPr>
  </w:style>
  <w:style w:type="paragraph" w:styleId="Cabealho">
    <w:name w:val="header"/>
    <w:basedOn w:val="Normal"/>
    <w:link w:val="CabealhoChar"/>
    <w:uiPriority w:val="99"/>
    <w:unhideWhenUsed w:val="1"/>
    <w:rsid w:val="009E55D1"/>
    <w:pPr>
      <w:tabs>
        <w:tab w:val="center" w:pos="4252"/>
        <w:tab w:val="right" w:pos="8504"/>
      </w:tabs>
      <w:spacing w:after="0" w:line="240" w:lineRule="auto"/>
    </w:pPr>
  </w:style>
  <w:style w:type="character" w:styleId="CabealhoChar" w:customStyle="1">
    <w:name w:val="Cabeçalho Char"/>
    <w:basedOn w:val="Fontepargpadro"/>
    <w:link w:val="Cabealho"/>
    <w:uiPriority w:val="99"/>
    <w:rsid w:val="009E55D1"/>
  </w:style>
  <w:style w:type="paragraph" w:styleId="Rodap">
    <w:name w:val="footer"/>
    <w:basedOn w:val="Normal"/>
    <w:link w:val="RodapChar"/>
    <w:uiPriority w:val="99"/>
    <w:unhideWhenUsed w:val="1"/>
    <w:rsid w:val="009E55D1"/>
    <w:pPr>
      <w:tabs>
        <w:tab w:val="center" w:pos="4252"/>
        <w:tab w:val="right" w:pos="8504"/>
      </w:tabs>
      <w:spacing w:after="0" w:line="240" w:lineRule="auto"/>
    </w:pPr>
  </w:style>
  <w:style w:type="character" w:styleId="RodapChar" w:customStyle="1">
    <w:name w:val="Rodapé Char"/>
    <w:basedOn w:val="Fontepargpadro"/>
    <w:link w:val="Rodap"/>
    <w:uiPriority w:val="99"/>
    <w:rsid w:val="009E55D1"/>
  </w:style>
  <w:style w:type="paragraph" w:styleId="Subtitle">
    <w:name w:val="Subtitle"/>
    <w:basedOn w:val="Normal"/>
    <w:next w:val="Normal"/>
    <w:pPr/>
    <w:rPr>
      <w:color w:val="595959"/>
      <w:sz w:val="28"/>
      <w:szCs w:val="2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ededed" w:val="clear"/>
      </w:tcPr>
    </w:tblStylePr>
    <w:tblStylePr w:type="band1Vert">
      <w:tcPr>
        <w:shd w:fill="edede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a5a5a5" w:space="0" w:sz="4" w:val="single"/>
          <w:left w:color="a5a5a5" w:space="0" w:sz="4" w:val="single"/>
          <w:bottom w:color="a5a5a5" w:space="0" w:sz="4" w:val="single"/>
          <w:right w:color="a5a5a5" w:space="0" w:sz="4" w:val="single"/>
          <w:insideH w:color="000000" w:space="0" w:sz="0" w:val="nil"/>
          <w:insideV w:color="000000" w:space="0" w:sz="0" w:val="nil"/>
        </w:tcBorders>
        <w:shd w:fill="a5a5a5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a5a5a5" w:space="0" w:sz="4" w:val="single"/>
        </w:tcBorders>
      </w:tcPr>
    </w:tblStyle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  <w:tblStylePr w:type="band1Horz">
      <w:tcPr>
        <w:shd w:fill="ededed" w:val="clear"/>
      </w:tcPr>
    </w:tblStylePr>
    <w:tblStylePr w:type="band1Vert">
      <w:tcPr>
        <w:shd w:fill="ededed" w:val="clear"/>
      </w:tcPr>
    </w:tblStylePr>
    <w:tblStylePr w:type="firstCol">
      <w:rPr>
        <w:b w:val="1"/>
        <w:bCs w:val="1"/>
      </w:rPr>
    </w:tblStylePr>
    <w:tblStylePr w:type="firstRow">
      <w:rPr>
        <w:b w:val="1"/>
        <w:bCs w:val="1"/>
        <w:color w:val="ffffff"/>
      </w:rPr>
      <w:tcPr>
        <w:tcBorders>
          <w:top w:color="a5a5a5" w:space="0" w:sz="4" w:val="single"/>
          <w:left w:color="a5a5a5" w:space="0" w:sz="4" w:val="single"/>
          <w:bottom w:color="a5a5a5" w:space="0" w:sz="4" w:val="single"/>
          <w:right w:color="a5a5a5" w:space="0" w:sz="4" w:val="single"/>
          <w:insideH w:color="000000" w:space="0" w:sz="0" w:val="nil"/>
          <w:insideV w:color="000000" w:space="0" w:sz="0" w:val="nil"/>
        </w:tcBorders>
        <w:shd w:fill="a5a5a5" w:val="clear"/>
      </w:tcPr>
    </w:tblStylePr>
    <w:tblStylePr w:type="lastCol">
      <w:rPr>
        <w:b w:val="1"/>
        <w:bCs w:val="1"/>
      </w:rPr>
    </w:tblStylePr>
    <w:tblStylePr w:type="lastRow">
      <w:rPr>
        <w:b w:val="1"/>
        <w:bCs w:val="1"/>
      </w:rPr>
      <w:tcPr>
        <w:tcBorders>
          <w:top w:color="a5a5a5" w:space="0" w:sz="4" w:val="single"/>
        </w:tcBorders>
      </w:tcPr>
    </w:tblStyle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eader" Target="header1.xml"/><Relationship Id="rId10" Type="http://schemas.openxmlformats.org/officeDocument/2006/relationships/hyperlink" Target="http://www.iniciativabr.com.br" TargetMode="External"/><Relationship Id="rId9" Type="http://schemas.openxmlformats.org/officeDocument/2006/relationships/hyperlink" Target="mailto:contato@valeroleiloes.com.br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valeroleiloes.com.br/" TargetMode="External"/><Relationship Id="rId8" Type="http://schemas.openxmlformats.org/officeDocument/2006/relationships/hyperlink" Target="http://www.valeroleiloes.com.br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7dHgLsJSiLLpMbMLByEpehqKsg==">CgMxLjA4AHIhMUFmdGFpNlhWWGNaWUpwRkhTU0xxMkFxZjFnSzRXMlla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2026-01-28T20:22:00Z</dcterms:created>
  <dc:creator>Rafael Bagatini Filho</dc:creator>
</cp:coreProperties>
</file>