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2836E" w14:textId="77777777" w:rsidR="005A7B12" w:rsidRPr="002C66CE" w:rsidRDefault="00000000">
      <w:pPr>
        <w:pStyle w:val="Ttulo1"/>
        <w:spacing w:before="0" w:after="0" w:line="276" w:lineRule="auto"/>
        <w:jc w:val="both"/>
        <w:rPr>
          <w:sz w:val="24"/>
          <w:szCs w:val="24"/>
        </w:rPr>
      </w:pPr>
      <w:r w:rsidRPr="002C66CE">
        <w:rPr>
          <w:sz w:val="24"/>
          <w:szCs w:val="24"/>
        </w:rPr>
        <w:t>EDITAL DE LEILÃO ELETRÔNICO PARA CONHECIMENTO DAS PARTES E EVENTUAIS INTERESSADOS</w:t>
      </w:r>
    </w:p>
    <w:p w14:paraId="6C88C622" w14:textId="77777777" w:rsidR="005A7B12" w:rsidRPr="002C66CE" w:rsidRDefault="005A7B12">
      <w:pPr>
        <w:widowControl w:val="0"/>
        <w:pBdr>
          <w:top w:val="nil"/>
          <w:left w:val="nil"/>
          <w:bottom w:val="nil"/>
          <w:right w:val="nil"/>
          <w:between w:val="nil"/>
        </w:pBdr>
        <w:spacing w:after="0" w:line="276" w:lineRule="auto"/>
        <w:rPr>
          <w:b/>
          <w:bCs/>
          <w:color w:val="000000"/>
          <w:sz w:val="24"/>
          <w:szCs w:val="24"/>
        </w:rPr>
      </w:pPr>
    </w:p>
    <w:p w14:paraId="562608E0" w14:textId="77777777" w:rsidR="005A7B12" w:rsidRPr="002C66CE" w:rsidRDefault="00000000">
      <w:pPr>
        <w:spacing w:after="0" w:line="276" w:lineRule="auto"/>
        <w:jc w:val="both"/>
        <w:rPr>
          <w:sz w:val="24"/>
          <w:szCs w:val="24"/>
        </w:rPr>
      </w:pPr>
      <w:r w:rsidRPr="002C66CE">
        <w:rPr>
          <w:sz w:val="24"/>
          <w:szCs w:val="24"/>
        </w:rPr>
        <w:t xml:space="preserve">A Doutora </w:t>
      </w:r>
      <w:r w:rsidRPr="002C66CE">
        <w:rPr>
          <w:b/>
          <w:bCs/>
          <w:sz w:val="24"/>
          <w:szCs w:val="24"/>
        </w:rPr>
        <w:t>Aline Sugahara Bertaco,</w:t>
      </w:r>
      <w:r w:rsidRPr="002C66CE">
        <w:rPr>
          <w:sz w:val="24"/>
          <w:szCs w:val="24"/>
        </w:rPr>
        <w:t xml:space="preserve"> Excelentíssima Juíza de Direito da 2ª Vara Cível da Comarca de Presidente Prudente/SP, faz saber a todos quanto este edital virem ou dele conhecimento tiver e possa interessar, nos termos do art. 882 e seguintes do Código de Processo Civil e regulamentado pelo provimento CSM nº 1625/2009 do Tribunal de Justiça do Estado de São Paulo, que será realizado leilão público pelo portal </w:t>
      </w:r>
      <w:r w:rsidRPr="002C66CE">
        <w:rPr>
          <w:b/>
          <w:bCs/>
          <w:sz w:val="24"/>
          <w:szCs w:val="24"/>
        </w:rPr>
        <w:t xml:space="preserve">DH LEILÕES </w:t>
      </w:r>
      <w:r w:rsidRPr="002C66CE">
        <w:rPr>
          <w:sz w:val="24"/>
          <w:szCs w:val="24"/>
        </w:rPr>
        <w:t xml:space="preserve">site </w:t>
      </w:r>
      <w:hyperlink r:id="rId9">
        <w:r w:rsidR="005A7B12" w:rsidRPr="002C66CE">
          <w:rPr>
            <w:color w:val="0462C1"/>
            <w:sz w:val="24"/>
            <w:szCs w:val="24"/>
            <w:u w:val="single"/>
          </w:rPr>
          <w:t>www.dhleiloes.com.br</w:t>
        </w:r>
      </w:hyperlink>
    </w:p>
    <w:p w14:paraId="0C2F6367"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11051AB9"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 xml:space="preserve">PROCESSO nº:  </w:t>
      </w:r>
      <w:r w:rsidRPr="002C66CE">
        <w:rPr>
          <w:b/>
          <w:bCs/>
          <w:sz w:val="24"/>
          <w:szCs w:val="24"/>
        </w:rPr>
        <w:t>1016721-97.2015.8.26.0482</w:t>
      </w:r>
      <w:r w:rsidRPr="002C66CE">
        <w:rPr>
          <w:b/>
          <w:bCs/>
          <w:color w:val="000000"/>
          <w:sz w:val="24"/>
          <w:szCs w:val="24"/>
        </w:rPr>
        <w:t xml:space="preserve"> –</w:t>
      </w:r>
      <w:r w:rsidRPr="002C66CE">
        <w:rPr>
          <w:color w:val="000000"/>
          <w:sz w:val="24"/>
          <w:szCs w:val="24"/>
        </w:rPr>
        <w:t xml:space="preserve"> CUMPRIMENTO DE SENTENÇA</w:t>
      </w:r>
    </w:p>
    <w:p w14:paraId="0BDED672" w14:textId="77777777" w:rsidR="005A7B12" w:rsidRPr="002C66CE" w:rsidRDefault="00000000">
      <w:pPr>
        <w:spacing w:after="0" w:line="276" w:lineRule="auto"/>
        <w:jc w:val="both"/>
        <w:rPr>
          <w:sz w:val="24"/>
          <w:szCs w:val="24"/>
        </w:rPr>
      </w:pPr>
      <w:r w:rsidRPr="002C66CE">
        <w:rPr>
          <w:b/>
          <w:bCs/>
          <w:sz w:val="24"/>
          <w:szCs w:val="24"/>
        </w:rPr>
        <w:t xml:space="preserve">EXEQUENTE: </w:t>
      </w:r>
      <w:r w:rsidRPr="002C66CE">
        <w:rPr>
          <w:sz w:val="24"/>
          <w:szCs w:val="24"/>
        </w:rPr>
        <w:t>MARCO ANTONIO CALIXTO (CPF/MF nº 053.420.838-00)</w:t>
      </w:r>
    </w:p>
    <w:p w14:paraId="7ED57F78" w14:textId="77777777" w:rsidR="005A7B12" w:rsidRPr="002C66CE" w:rsidRDefault="00000000">
      <w:pPr>
        <w:spacing w:after="0" w:line="276" w:lineRule="auto"/>
        <w:jc w:val="both"/>
        <w:rPr>
          <w:b/>
          <w:bCs/>
          <w:sz w:val="24"/>
          <w:szCs w:val="24"/>
        </w:rPr>
      </w:pPr>
      <w:r w:rsidRPr="002C66CE">
        <w:rPr>
          <w:b/>
          <w:bCs/>
          <w:sz w:val="24"/>
          <w:szCs w:val="24"/>
        </w:rPr>
        <w:t xml:space="preserve">EXECUTADA: </w:t>
      </w:r>
      <w:r w:rsidRPr="002C66CE">
        <w:rPr>
          <w:sz w:val="24"/>
          <w:szCs w:val="24"/>
        </w:rPr>
        <w:t>LUCIANE SATO ANITELLI (CPF/MF nº 255.809.618-47)</w:t>
      </w:r>
    </w:p>
    <w:p w14:paraId="5F88174D" w14:textId="77777777" w:rsidR="005A7B12" w:rsidRPr="002C66CE" w:rsidRDefault="00000000">
      <w:pPr>
        <w:spacing w:after="0" w:line="276" w:lineRule="auto"/>
        <w:jc w:val="both"/>
        <w:rPr>
          <w:sz w:val="24"/>
          <w:szCs w:val="24"/>
        </w:rPr>
      </w:pPr>
      <w:r w:rsidRPr="002C66CE">
        <w:rPr>
          <w:b/>
          <w:bCs/>
          <w:sz w:val="24"/>
          <w:szCs w:val="24"/>
        </w:rPr>
        <w:t>INTERESSADOS</w:t>
      </w:r>
      <w:r w:rsidRPr="002C66CE">
        <w:rPr>
          <w:sz w:val="24"/>
          <w:szCs w:val="24"/>
        </w:rPr>
        <w:t>: ONOFRE ANITELLI (CPF/MF nº 137.928.228-49); INSTITUTO NACIONAL DE COLONIZAÇÃO E REFORMA AGRÁRIA – INCRA (CNPJ/MF nº 00.375.972/0001-04)</w:t>
      </w:r>
    </w:p>
    <w:p w14:paraId="02F2D6CB"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3926D9DA" w14:textId="143A088A" w:rsidR="005A7B12" w:rsidRPr="002C66CE" w:rsidRDefault="00000000">
      <w:pPr>
        <w:spacing w:after="0" w:line="276" w:lineRule="auto"/>
        <w:jc w:val="both"/>
        <w:rPr>
          <w:sz w:val="24"/>
          <w:szCs w:val="24"/>
        </w:rPr>
      </w:pPr>
      <w:r w:rsidRPr="002C66CE">
        <w:rPr>
          <w:b/>
          <w:bCs/>
          <w:sz w:val="24"/>
          <w:szCs w:val="24"/>
        </w:rPr>
        <w:t xml:space="preserve">DATAS - 1ª PRAÇA </w:t>
      </w:r>
      <w:r w:rsidRPr="002C66CE">
        <w:rPr>
          <w:sz w:val="24"/>
          <w:szCs w:val="24"/>
        </w:rPr>
        <w:t xml:space="preserve">ocorrerá a partir de </w:t>
      </w:r>
      <w:r w:rsidRPr="002C66CE">
        <w:rPr>
          <w:b/>
          <w:bCs/>
          <w:sz w:val="24"/>
          <w:szCs w:val="24"/>
        </w:rPr>
        <w:t>28 de Abril de 2026</w:t>
      </w:r>
      <w:r w:rsidRPr="002C66CE">
        <w:rPr>
          <w:sz w:val="24"/>
          <w:szCs w:val="24"/>
        </w:rPr>
        <w:t xml:space="preserve"> às 14h00min e se encerrará em </w:t>
      </w:r>
      <w:r w:rsidRPr="002C66CE">
        <w:rPr>
          <w:b/>
          <w:bCs/>
          <w:sz w:val="24"/>
          <w:szCs w:val="24"/>
        </w:rPr>
        <w:t>05 de Maio de 2026</w:t>
      </w:r>
      <w:r w:rsidRPr="002C66CE">
        <w:rPr>
          <w:sz w:val="24"/>
          <w:szCs w:val="24"/>
        </w:rPr>
        <w:t>, às 14h00min. Não havendo lance igual ou superior ao valor de avaliação</w:t>
      </w:r>
      <w:r w:rsidR="00963FCE" w:rsidRPr="002C66CE">
        <w:rPr>
          <w:sz w:val="24"/>
          <w:szCs w:val="24"/>
        </w:rPr>
        <w:t xml:space="preserve"> durante a 1ª Praça</w:t>
      </w:r>
      <w:r w:rsidRPr="002C66CE">
        <w:rPr>
          <w:sz w:val="24"/>
          <w:szCs w:val="24"/>
        </w:rPr>
        <w:t xml:space="preserve">, a </w:t>
      </w:r>
      <w:r w:rsidRPr="002C66CE">
        <w:rPr>
          <w:b/>
          <w:bCs/>
          <w:sz w:val="24"/>
          <w:szCs w:val="24"/>
        </w:rPr>
        <w:t>2ª PRAÇA</w:t>
      </w:r>
      <w:r w:rsidRPr="002C66CE">
        <w:rPr>
          <w:sz w:val="24"/>
          <w:szCs w:val="24"/>
        </w:rPr>
        <w:t xml:space="preserve"> seguir-se-á sem interrupção, iniciando-se em </w:t>
      </w:r>
      <w:r w:rsidRPr="002C66CE">
        <w:rPr>
          <w:b/>
          <w:bCs/>
          <w:sz w:val="24"/>
          <w:szCs w:val="24"/>
        </w:rPr>
        <w:t>05 de Maio de 2026</w:t>
      </w:r>
      <w:r w:rsidRPr="002C66CE">
        <w:rPr>
          <w:sz w:val="24"/>
          <w:szCs w:val="24"/>
        </w:rPr>
        <w:t xml:space="preserve">, às 14h01min e se encerrará em </w:t>
      </w:r>
      <w:r w:rsidRPr="002C66CE">
        <w:rPr>
          <w:b/>
          <w:bCs/>
          <w:sz w:val="24"/>
          <w:szCs w:val="24"/>
        </w:rPr>
        <w:t>26 de Maio de 2026</w:t>
      </w:r>
      <w:r w:rsidRPr="002C66CE">
        <w:rPr>
          <w:sz w:val="24"/>
          <w:szCs w:val="24"/>
        </w:rPr>
        <w:t xml:space="preserve">, às 14h00min. O valor mínimo para venda em 2ª Praça corresponderá a </w:t>
      </w:r>
      <w:r w:rsidRPr="002C66CE">
        <w:rPr>
          <w:b/>
          <w:bCs/>
          <w:sz w:val="24"/>
          <w:szCs w:val="24"/>
        </w:rPr>
        <w:t>50% (cinquenta por cento)</w:t>
      </w:r>
      <w:r w:rsidRPr="002C66CE">
        <w:rPr>
          <w:sz w:val="24"/>
          <w:szCs w:val="24"/>
        </w:rPr>
        <w:t xml:space="preserve"> do valor da avaliação judicial atualizada. O sistema estará disponível para recepção de lances com, no mínimo, 5 (cinco) dias de antecedência do início do leilão (art. 11, da Resolução 236/2016 do CNJ e 887, § 1º do CPC).</w:t>
      </w:r>
    </w:p>
    <w:p w14:paraId="22804B34"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2ED1CD8D" w14:textId="77777777" w:rsidR="005A7B12" w:rsidRPr="002C66CE" w:rsidRDefault="00000000">
      <w:pPr>
        <w:spacing w:after="0" w:line="276" w:lineRule="auto"/>
        <w:jc w:val="both"/>
        <w:rPr>
          <w:b/>
          <w:bCs/>
          <w:sz w:val="24"/>
          <w:szCs w:val="24"/>
        </w:rPr>
      </w:pPr>
      <w:r w:rsidRPr="002C66CE">
        <w:rPr>
          <w:b/>
          <w:bCs/>
          <w:sz w:val="24"/>
          <w:szCs w:val="24"/>
        </w:rPr>
        <w:t>DESCRIÇÃO DO BEM –</w:t>
      </w:r>
      <w:r w:rsidRPr="002C66CE">
        <w:rPr>
          <w:sz w:val="24"/>
          <w:szCs w:val="24"/>
        </w:rPr>
        <w:t xml:space="preserve"> Uma área de terras rurais com 2.420,0228ha (dois mil, quatrocentos e vinte hectares, dois ares e vinte e oito centiares), situado no município e comarca de Jauru-MT, denominado "FAZENDA BARRA FORTE”, dentro dos seguintes limites e confrontações: PERÍMETRO: 22.172,94 metros. DESCRIÇÃO DO PERÍMETRO: inicia-se a descrição deste imóvel no vértice AYU-M-0304 (Longitude: -58°51'04.784", Latitude: -14°57'48.334" e Altitude 640,05 m); deste segue confrontando com a Fazenda Paraná III, no azimute 91°57' e distância de 2.451,49 m até o vértice AYU-M-0300 (Longitude: -58°49'42.796", Latitude: -14°57'51.060" e Altitude 610,45 m); deste segue confrontando com Fazenda Dois Irmãos – mat 198, no azimute 174°17' e distância de 3.803,71 m até o vértice AVU-M-0301 (Longitude: -58°49'30.142", Latitude: -14°59'54.192" e Altitude 465,08 m); no azimute 121°41' e distância de 578,37 m até o vértice AYU-M-0104 (Longitude: -58°49'13.669", Latitude: -15°00'04.075" e Altitude 458,94 m); deste segue confrontando com o Rio Claro, margem direita, a jusante, </w:t>
      </w:r>
      <w:r w:rsidRPr="002C66CE">
        <w:rPr>
          <w:sz w:val="24"/>
          <w:szCs w:val="24"/>
        </w:rPr>
        <w:lastRenderedPageBreak/>
        <w:t xml:space="preserve">no azimute 174°30' e distância de 130,31 m até o vértice AU1-P-H577 (Longitude: -58°49'13.251", Latitude: -15°00'08.295" e Altitude 458,70 m); no azimute 178°57' e distância de 148,77 m até o vértice AU1-P-H578 (Longitude: -58°49'13.160", Latitude: -15°00'13.134" e Altitude 459,40 m); no azimute 159°17' e distância de 168,97 m até o vértice AU1-P-H579 (Longitude: -58°49'11.160", Latitude: -15°00'18.276" e Altitude 458,67 m); no azimute 152°36' e distância de 190,10 m até o vértice AU1-P-H580 (Longitude: -58°49'08.232", Latitude: -15°00'23.767" e Altitude 458,59 m); no azimute 110°49' e distância de 255,64 m até o vértice AU1-P-H581 (Longitude: -58°49'00.234", Latitude: -15°00'26.723" e Altitude 456,98 m); no azimute 107°45' e distância de 94,36 m até o vértice AEH-P-H582 (Longitude: -58°48'57.226", Latitude: -15°00'27.659" e Altitude 455,14 m); no azimute 130°29' e distância de 104,96 m até o vértice AU1-P-H583 (Longitude: -58°48'54.554", Latitude: -15°00'29.876" e Altitude 456,00 m); no azimute 166°39' e distância de 141,18 m até o vértice AU1-P-H584 (Longitude: -58°48'53.463", Latitude: -15°00'34.345" e Altitude 455,97 m); no azimute 174°52' e distância de 157,05 m até o vértice AU1-P-H585 (Longitude: -58°48'52.993", Latitude: -15°00'39.434" e Altitude 456,85 m); no azimute 71°04' e distância de 142,21 m até o vértice AU1-P-H586 (Longitude: -58°48'48.490", Latitude: -15°00'37.934" e Altitude 455,26 m); no azimute 90°00' e distância de 91,24 m até o vértice AU1-P-H587 (Longitude: -58°48'45.436", Latitude: -15°00'37.931" e Altitude 454,67 m); no azimute 123°35' e distância de 133,41 m até o vértice AU1-P-H588 (Longitude: -58°48'41.716", Latitude: -15°00'40.332" e Altitude 455,83 m); no azimute 154°19' e distância de 98,6 m até o vértice AU1-P-H589 (Longitude: -58°48'40.286", Latitude: -15°00'43.223" e Altitude 454,70 m); no azimute 133°28' e distância de 78,40 m até o vértice AU1-P-H590 (Longitude: -58°48'38.382", Latitude: -15°00'44.978" e Altitude 452,60 m); no azimute 149°43' e distância de 65,17 m até o vértice AU1-P-H591 (Longitude: -58°48'37.282", Latitude: -15°00'46.809" e Altitude 452,86 m); no azimute 221°54' e distância de 138,91 m até o vértice AU1-P-H592 (Longitude: -58°48'40.388", Latitude: -15°00'50.172" e Altitude 452,98 m); no azimute 213°42' e distância de 39,72 m até o vértice AU1-P-H593 (Longitude: -58°48'41.126", Latitude: -15°00'51.247" e Altitude 453,84 m); no azimute 211°22' e distância de 80,15 m até o vértice A9M-M-1817 (Longitude: -58°48'42.523", Latitude: -15°00'53.473" e Altitude 455,248 m); deste segue confrontando com a Fazenda Videira – matrícula nº 300, no azimute 264°31' e distância de 5.516,15 m até o vértice ASN-M-0234 (Longitude: -58°51'46.324", Latitude: -15°01'10.568" e Altitude 522,791 m); no azimute 264°34' e distância de 71,24 m até o vértice A9M-M-1955 (Longitude: -58°51'48.698", Latitude: -15°01'10.787" e Altitude 519,266 m); deste segue confrontando com a Fazenda Rio das Pedras – matrícula nº 745, no azimute 264°49' e distância de 361,55 m até o vértice ASN-M-0198 (Longitude: -58°52'00.751", Latitude: -15°01'11.847" e Altitude 509,371 m); no azimute 264°48' e distância de 476,52 m até o vértice AYU-M-0303 (Longitude: -58°52'16.636", Latitude: -15°01'13.250" e Altitude 540,30 m); deste </w:t>
      </w:r>
      <w:r w:rsidRPr="002C66CE">
        <w:rPr>
          <w:sz w:val="24"/>
          <w:szCs w:val="24"/>
        </w:rPr>
        <w:lastRenderedPageBreak/>
        <w:t xml:space="preserve">segue confrontando com a Estrada Municipal, no azimute 18°49' e distância de 6.654,64 m até o vértice AYU-M-0304, ponto inicial da descrição deste imóvel. Todas as coordenadas aqui descritas estão georreferenciadas ao Sistema Geodésico Brasileiro tendo referência o SIRGAS2000.. </w:t>
      </w:r>
      <w:r w:rsidRPr="002C66CE">
        <w:rPr>
          <w:b/>
          <w:bCs/>
          <w:sz w:val="24"/>
          <w:szCs w:val="24"/>
        </w:rPr>
        <w:t>Certificação INCRA nº 632.104.033.626-8</w:t>
      </w:r>
      <w:r w:rsidRPr="002C66CE">
        <w:rPr>
          <w:sz w:val="24"/>
          <w:szCs w:val="24"/>
        </w:rPr>
        <w:t>.</w:t>
      </w:r>
      <w:r w:rsidRPr="002C66CE">
        <w:rPr>
          <w:b/>
          <w:bCs/>
          <w:sz w:val="24"/>
          <w:szCs w:val="24"/>
        </w:rPr>
        <w:t xml:space="preserve"> MATRÍCULA – </w:t>
      </w:r>
      <w:r w:rsidRPr="002C66CE">
        <w:rPr>
          <w:sz w:val="24"/>
          <w:szCs w:val="24"/>
        </w:rPr>
        <w:t xml:space="preserve">2757 do 1º Cartório de Registro de Imóveis da Comarca de Jauru, Estado de Mato Grosso. </w:t>
      </w:r>
      <w:r w:rsidRPr="002C66CE">
        <w:rPr>
          <w:b/>
          <w:bCs/>
          <w:sz w:val="24"/>
          <w:szCs w:val="24"/>
        </w:rPr>
        <w:t>AVALIAÇÃO DO BEM - R$ 79.860.752,40 (setenta e nove milhões, oitocentos e sessenta mil, setecentos e cinquenta e dois reais e quarenta centavos)</w:t>
      </w:r>
      <w:r w:rsidRPr="002C66CE">
        <w:rPr>
          <w:sz w:val="24"/>
          <w:szCs w:val="24"/>
        </w:rPr>
        <w:t xml:space="preserve">, de acordo com a avaliação de fls. 1372 em Agosto de 2025 e </w:t>
      </w:r>
      <w:r w:rsidRPr="002C66CE">
        <w:rPr>
          <w:b/>
          <w:bCs/>
          <w:sz w:val="24"/>
          <w:szCs w:val="24"/>
        </w:rPr>
        <w:t xml:space="preserve">R$ 80.798.897,96 (oitenta milhões setecentos e noventa e oito mil oitocentos e noventa e sete reais e noventa e seis centavos) </w:t>
      </w:r>
      <w:r w:rsidRPr="002C66CE">
        <w:rPr>
          <w:sz w:val="24"/>
          <w:szCs w:val="24"/>
        </w:rPr>
        <w:t xml:space="preserve">atualizado até </w:t>
      </w:r>
      <w:r w:rsidRPr="002C66CE">
        <w:rPr>
          <w:b/>
          <w:bCs/>
          <w:sz w:val="24"/>
          <w:szCs w:val="24"/>
        </w:rPr>
        <w:t>fevereiro de 2026.</w:t>
      </w:r>
    </w:p>
    <w:p w14:paraId="41C774E3" w14:textId="77777777" w:rsidR="005A7B12" w:rsidRPr="002C66CE" w:rsidRDefault="005A7B12">
      <w:pPr>
        <w:spacing w:after="0" w:line="276" w:lineRule="auto"/>
        <w:jc w:val="both"/>
        <w:rPr>
          <w:sz w:val="24"/>
          <w:szCs w:val="24"/>
        </w:rPr>
      </w:pPr>
    </w:p>
    <w:p w14:paraId="1BDBFA10" w14:textId="77777777" w:rsidR="005A7B12" w:rsidRPr="002C66CE" w:rsidRDefault="00000000">
      <w:pPr>
        <w:spacing w:after="0" w:line="276" w:lineRule="auto"/>
        <w:jc w:val="both"/>
        <w:rPr>
          <w:sz w:val="24"/>
          <w:szCs w:val="24"/>
        </w:rPr>
      </w:pPr>
      <w:r w:rsidRPr="002C66CE">
        <w:rPr>
          <w:b/>
          <w:bCs/>
          <w:sz w:val="24"/>
          <w:szCs w:val="24"/>
        </w:rPr>
        <w:t xml:space="preserve">DÉBITO DA DEMANDA PROCESSUAL – </w:t>
      </w:r>
      <w:r w:rsidRPr="002C66CE">
        <w:rPr>
          <w:sz w:val="24"/>
          <w:szCs w:val="24"/>
        </w:rPr>
        <w:t>R$566.319,33 (quinhentos e sessenta e seis mil trezentos e dezenove reais e trinta e três centavos), em novembro de 2025.</w:t>
      </w:r>
      <w:r w:rsidRPr="002C66CE">
        <w:rPr>
          <w:b/>
          <w:bCs/>
          <w:sz w:val="24"/>
          <w:szCs w:val="24"/>
        </w:rPr>
        <w:t xml:space="preserve"> </w:t>
      </w:r>
    </w:p>
    <w:p w14:paraId="61150A3B"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7F367224" w14:textId="474D87BD"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 xml:space="preserve">ÔNUS – </w:t>
      </w:r>
      <w:r w:rsidRPr="002C66CE">
        <w:rPr>
          <w:color w:val="000000"/>
          <w:sz w:val="24"/>
          <w:szCs w:val="24"/>
        </w:rPr>
        <w:t xml:space="preserve">Consta na referida matrícula </w:t>
      </w:r>
      <w:r w:rsidRPr="002C66CE">
        <w:rPr>
          <w:b/>
          <w:bCs/>
          <w:color w:val="000000"/>
          <w:sz w:val="24"/>
          <w:szCs w:val="24"/>
        </w:rPr>
        <w:t>Av. 02</w:t>
      </w:r>
      <w:r w:rsidRPr="002C66CE">
        <w:rPr>
          <w:color w:val="000000"/>
          <w:sz w:val="24"/>
          <w:szCs w:val="24"/>
        </w:rPr>
        <w:t xml:space="preserve"> (20/06/2017) </w:t>
      </w:r>
      <w:r w:rsidRPr="002C66CE">
        <w:rPr>
          <w:sz w:val="24"/>
          <w:szCs w:val="24"/>
        </w:rPr>
        <w:t>e</w:t>
      </w:r>
      <w:r w:rsidRPr="002C66CE">
        <w:rPr>
          <w:color w:val="000000"/>
          <w:sz w:val="24"/>
          <w:szCs w:val="24"/>
        </w:rPr>
        <w:t xml:space="preserve"> </w:t>
      </w:r>
      <w:r w:rsidRPr="002C66CE">
        <w:rPr>
          <w:b/>
          <w:bCs/>
          <w:sz w:val="24"/>
          <w:szCs w:val="24"/>
        </w:rPr>
        <w:t xml:space="preserve">R. 04 </w:t>
      </w:r>
      <w:r w:rsidRPr="002C66CE">
        <w:rPr>
          <w:sz w:val="24"/>
          <w:szCs w:val="24"/>
        </w:rPr>
        <w:t>(14/02/2024) - Ajuizamento da presente ação e penhora exequenda</w:t>
      </w:r>
      <w:r w:rsidRPr="002C66CE">
        <w:rPr>
          <w:color w:val="000000"/>
          <w:sz w:val="24"/>
          <w:szCs w:val="24"/>
        </w:rPr>
        <w:t xml:space="preserve">. </w:t>
      </w:r>
      <w:r w:rsidRPr="002C66CE">
        <w:rPr>
          <w:color w:val="000000"/>
          <w:sz w:val="24"/>
          <w:szCs w:val="24"/>
          <w:u w:val="single"/>
        </w:rPr>
        <w:t>DÉBITOS</w:t>
      </w:r>
      <w:r w:rsidRPr="002C66CE">
        <w:rPr>
          <w:sz w:val="24"/>
          <w:szCs w:val="24"/>
          <w:u w:val="single"/>
        </w:rPr>
        <w:t>:</w:t>
      </w:r>
      <w:r w:rsidRPr="002C66CE">
        <w:rPr>
          <w:sz w:val="24"/>
          <w:szCs w:val="24"/>
        </w:rPr>
        <w:t xml:space="preserve"> </w:t>
      </w:r>
      <w:r w:rsidR="00F70127" w:rsidRPr="002C66CE">
        <w:rPr>
          <w:sz w:val="24"/>
          <w:szCs w:val="24"/>
        </w:rPr>
        <w:t>Não consta nos autos informações sobre eventuais débitos fiscais e/ou tributários pendentes sobre o imóvel, tampouco foi possível a pesquisa, por se tratar de informação confidencial, o INCRA só fornece informações a respeito do ITR pessoalmente ao contribuinte</w:t>
      </w:r>
      <w:r w:rsidR="002C66CE" w:rsidRPr="002C66CE">
        <w:rPr>
          <w:sz w:val="24"/>
          <w:szCs w:val="24"/>
        </w:rPr>
        <w:t xml:space="preserve">. </w:t>
      </w:r>
      <w:r w:rsidRPr="002C66CE">
        <w:rPr>
          <w:sz w:val="24"/>
          <w:szCs w:val="24"/>
        </w:rPr>
        <w:t>Necessária a intimação do órgão competente.</w:t>
      </w:r>
    </w:p>
    <w:p w14:paraId="66C5C0D1" w14:textId="77777777" w:rsidR="005A7B12" w:rsidRPr="002C66CE" w:rsidRDefault="005A7B12">
      <w:pPr>
        <w:widowControl w:val="0"/>
        <w:pBdr>
          <w:top w:val="nil"/>
          <w:left w:val="nil"/>
          <w:bottom w:val="nil"/>
          <w:right w:val="nil"/>
          <w:between w:val="nil"/>
        </w:pBdr>
        <w:spacing w:after="0" w:line="276" w:lineRule="auto"/>
        <w:jc w:val="both"/>
        <w:rPr>
          <w:color w:val="000000"/>
          <w:sz w:val="24"/>
          <w:szCs w:val="24"/>
        </w:rPr>
      </w:pPr>
    </w:p>
    <w:p w14:paraId="4B8307F0"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bookmarkStart w:id="0" w:name="_heading=h.hd05q0d6aq4d" w:colFirst="0" w:colLast="0"/>
      <w:bookmarkEnd w:id="0"/>
      <w:r w:rsidRPr="002C66CE">
        <w:rPr>
          <w:b/>
          <w:bCs/>
          <w:color w:val="000000"/>
          <w:sz w:val="24"/>
          <w:szCs w:val="24"/>
        </w:rPr>
        <w:t>DO CONCURSO DE CREDORES -</w:t>
      </w:r>
      <w:r w:rsidRPr="002C66CE">
        <w:rPr>
          <w:color w:val="000000"/>
          <w:sz w:val="24"/>
          <w:szCs w:val="24"/>
        </w:rPr>
        <w:t xml:space="preserve"> Os débitos que recaiam sobre o bem, seja de natureza tributária (IPTU/ITR), propter rem (condomínio), serão sub-rogados no valor da arrematação, (art. 130, caput e parágrafo único, do CTN, c/c com o art. 908, § 1º, do CPC e art. 1.345 CC).</w:t>
      </w:r>
    </w:p>
    <w:p w14:paraId="728EC2BE" w14:textId="77777777" w:rsidR="005A7B12" w:rsidRPr="002C66CE" w:rsidRDefault="005A7B12">
      <w:pPr>
        <w:spacing w:after="0" w:line="276" w:lineRule="auto"/>
        <w:rPr>
          <w:sz w:val="24"/>
          <w:szCs w:val="24"/>
        </w:rPr>
      </w:pPr>
    </w:p>
    <w:p w14:paraId="69D1D866" w14:textId="77777777" w:rsidR="005A7B12" w:rsidRPr="002C66CE" w:rsidRDefault="00000000">
      <w:pPr>
        <w:spacing w:after="0" w:line="276" w:lineRule="auto"/>
        <w:jc w:val="both"/>
        <w:rPr>
          <w:sz w:val="24"/>
          <w:szCs w:val="24"/>
        </w:rPr>
      </w:pPr>
      <w:r w:rsidRPr="002C66CE">
        <w:rPr>
          <w:b/>
          <w:bCs/>
          <w:sz w:val="24"/>
          <w:szCs w:val="24"/>
        </w:rPr>
        <w:t xml:space="preserve">DAS INTIMAÇÕES - </w:t>
      </w:r>
      <w:r w:rsidRPr="002C66CE">
        <w:rPr>
          <w:sz w:val="24"/>
          <w:szCs w:val="24"/>
        </w:rPr>
        <w:t>Por qualquer motivo caso a intimação pessoal do executado não se realizar por meio de seus advogados ou pelo endereço constante dos autos, será intimado através do próprio edital de leilão nos termos do art. 889, I, do CPC.</w:t>
      </w:r>
    </w:p>
    <w:p w14:paraId="3267B81E" w14:textId="77777777" w:rsidR="005A7B12" w:rsidRPr="002C66CE" w:rsidRDefault="005A7B12">
      <w:pPr>
        <w:spacing w:after="0" w:line="276" w:lineRule="auto"/>
        <w:jc w:val="both"/>
        <w:rPr>
          <w:sz w:val="24"/>
          <w:szCs w:val="24"/>
        </w:rPr>
      </w:pPr>
    </w:p>
    <w:p w14:paraId="500F226D" w14:textId="77777777" w:rsidR="005A7B12" w:rsidRPr="002C66CE" w:rsidRDefault="00000000">
      <w:pPr>
        <w:spacing w:after="0" w:line="276" w:lineRule="auto"/>
        <w:jc w:val="both"/>
        <w:rPr>
          <w:sz w:val="24"/>
          <w:szCs w:val="24"/>
        </w:rPr>
      </w:pPr>
      <w:r w:rsidRPr="002C66CE">
        <w:rPr>
          <w:b/>
          <w:bCs/>
          <w:sz w:val="24"/>
          <w:szCs w:val="24"/>
        </w:rPr>
        <w:t>DO IMÓVEL -</w:t>
      </w:r>
      <w:r w:rsidRPr="002C66CE">
        <w:rPr>
          <w:sz w:val="24"/>
          <w:szCs w:val="24"/>
        </w:rPr>
        <w:t xml:space="preserve"> O imóvel será vendido em caráter "AD CORPUS”.</w:t>
      </w:r>
    </w:p>
    <w:p w14:paraId="6FA88D08" w14:textId="77777777" w:rsidR="005A7B12" w:rsidRPr="002C66CE" w:rsidRDefault="005A7B12">
      <w:pPr>
        <w:spacing w:after="0" w:line="276" w:lineRule="auto"/>
        <w:jc w:val="both"/>
        <w:rPr>
          <w:sz w:val="24"/>
          <w:szCs w:val="24"/>
        </w:rPr>
      </w:pPr>
    </w:p>
    <w:p w14:paraId="30375927" w14:textId="77777777" w:rsidR="005A7B12" w:rsidRPr="002C66CE" w:rsidRDefault="00000000">
      <w:pPr>
        <w:spacing w:after="0" w:line="276" w:lineRule="auto"/>
        <w:jc w:val="both"/>
        <w:rPr>
          <w:sz w:val="24"/>
          <w:szCs w:val="24"/>
        </w:rPr>
      </w:pPr>
      <w:r w:rsidRPr="002C66CE">
        <w:rPr>
          <w:b/>
          <w:bCs/>
          <w:sz w:val="24"/>
          <w:szCs w:val="24"/>
        </w:rPr>
        <w:t>RESPONSABILIDADE DO INTERESSADO</w:t>
      </w:r>
      <w:r w:rsidRPr="002C66CE">
        <w:rPr>
          <w:sz w:val="24"/>
          <w:szCs w:val="24"/>
        </w:rPr>
        <w:t xml:space="preserve"> </w:t>
      </w:r>
      <w:r w:rsidRPr="002C66CE">
        <w:rPr>
          <w:b/>
          <w:bCs/>
          <w:sz w:val="24"/>
          <w:szCs w:val="24"/>
        </w:rPr>
        <w:t>-</w:t>
      </w:r>
      <w:r w:rsidRPr="002C66CE">
        <w:rPr>
          <w:sz w:val="24"/>
          <w:szCs w:val="24"/>
        </w:rPr>
        <w:t xml:space="preserve"> Cabe ao interessado pesquisar e confirmar diretamente todas as informações contidas nesse edital, uma vez que pode haver divergência(s) tanto em relação a valores quanto à efetiva situação do(s) bem(ns) leiloado(s) em relação ao disponibilizado no processo e/ou órgãos competentes.</w:t>
      </w:r>
    </w:p>
    <w:p w14:paraId="566400B6" w14:textId="77777777" w:rsidR="005A7B12" w:rsidRPr="002C66CE" w:rsidRDefault="005A7B12">
      <w:pPr>
        <w:spacing w:after="0" w:line="276" w:lineRule="auto"/>
        <w:rPr>
          <w:sz w:val="24"/>
          <w:szCs w:val="24"/>
        </w:rPr>
      </w:pPr>
    </w:p>
    <w:p w14:paraId="557C3443" w14:textId="7DBDE909" w:rsidR="005A7B12" w:rsidRPr="002C66CE" w:rsidRDefault="00000000">
      <w:pPr>
        <w:spacing w:after="0" w:line="276" w:lineRule="auto"/>
        <w:jc w:val="both"/>
        <w:rPr>
          <w:sz w:val="24"/>
          <w:szCs w:val="24"/>
        </w:rPr>
      </w:pPr>
      <w:r w:rsidRPr="002C66CE">
        <w:rPr>
          <w:b/>
          <w:bCs/>
          <w:sz w:val="24"/>
          <w:szCs w:val="24"/>
        </w:rPr>
        <w:t>DÉBITOS e OBRIGAÇÕES DO ARREMATANTE -</w:t>
      </w:r>
      <w:r w:rsidRPr="002C66CE">
        <w:rPr>
          <w:sz w:val="24"/>
          <w:szCs w:val="24"/>
        </w:rPr>
        <w:t xml:space="preserve"> </w:t>
      </w:r>
      <w:r w:rsidR="00963FCE" w:rsidRPr="002C66CE">
        <w:rPr>
          <w:sz w:val="24"/>
          <w:szCs w:val="24"/>
        </w:rPr>
        <w:t xml:space="preserve">Eventuais débitos de IPTU/ITR foro e laudêmio, quando for o caso e demais taxas e impostos até a data da praça serão pagos com o produto </w:t>
      </w:r>
      <w:r w:rsidR="00963FCE" w:rsidRPr="002C66CE">
        <w:rPr>
          <w:sz w:val="24"/>
          <w:szCs w:val="24"/>
        </w:rPr>
        <w:lastRenderedPageBreak/>
        <w:t>da venda, mediante apresentação de extrato pelo arrematante ao MM. Juízo da causa (Art. 130, parágrafo único do CTN). O bem será alienado no estado de conservação em que se encontra, cabendo ao arrematante a verificação da documentação, da existência de gravames ou credores e da área do imóvel, assumindo integral responsabilidade por eventual regularização que se faça necessária. Os atos necessários à expedição da carta de arrematação, ao registro, ao pagamento do ITBI, à imissão na posse e às demais providências correlatas serão de responsabilidade exclusiva do arrematante (Art. 901, "caput", § 1º e § 2º e Art. 903 do CPC). Os valores de avaliação e débitos serão atualizados até a data da efetiva praça. Em caso de inadimplemento, tal informação será encaminhada ao MM. Juízo competente para a aplicação das medidas legais cabíveis.</w:t>
      </w:r>
    </w:p>
    <w:p w14:paraId="18EDC8A2" w14:textId="77777777" w:rsidR="005A7B12" w:rsidRPr="002C66CE" w:rsidRDefault="005A7B12">
      <w:pPr>
        <w:widowControl w:val="0"/>
        <w:pBdr>
          <w:top w:val="nil"/>
          <w:left w:val="nil"/>
          <w:bottom w:val="nil"/>
          <w:right w:val="nil"/>
          <w:between w:val="nil"/>
        </w:pBdr>
        <w:spacing w:after="0" w:line="276" w:lineRule="auto"/>
        <w:jc w:val="both"/>
        <w:rPr>
          <w:color w:val="000000"/>
          <w:sz w:val="24"/>
          <w:szCs w:val="24"/>
        </w:rPr>
      </w:pPr>
    </w:p>
    <w:p w14:paraId="75369D9B" w14:textId="77777777" w:rsidR="005A7B12" w:rsidRPr="002C66CE" w:rsidRDefault="00000000">
      <w:pPr>
        <w:spacing w:after="0" w:line="276" w:lineRule="auto"/>
        <w:jc w:val="both"/>
        <w:rPr>
          <w:sz w:val="24"/>
          <w:szCs w:val="24"/>
        </w:rPr>
      </w:pPr>
      <w:r w:rsidRPr="002C66CE">
        <w:rPr>
          <w:b/>
          <w:bCs/>
          <w:sz w:val="24"/>
          <w:szCs w:val="24"/>
        </w:rPr>
        <w:t>DA FRAUDE -</w:t>
      </w:r>
      <w:r w:rsidRPr="002C66CE">
        <w:rPr>
          <w:sz w:val="24"/>
          <w:szCs w:val="24"/>
        </w:rPr>
        <w:t xml:space="preserve"> Aquele que, tentar fraudar a arrematação, além da reparação do dano na esfera cível - Arts. 186 e 927 do Código Civil, ficará sujeito às penalidades do artigo 358 do Código Penal: Art. 358 - Impedir, perturbar ou fraudar arrematação judicial; afastar ou procurar afastar concorrente ou licitante, por meio de violência, grave ameaça, fraude ou oferecimento de vantagem: Pena - detenção, de 2 (dois) meses a 1 (um) ano, ou multa, além da pena correspondente à violência.</w:t>
      </w:r>
    </w:p>
    <w:p w14:paraId="4B492A56" w14:textId="77777777" w:rsidR="005A7B12" w:rsidRPr="002C66CE" w:rsidRDefault="005A7B12">
      <w:pPr>
        <w:pBdr>
          <w:top w:val="nil"/>
          <w:left w:val="nil"/>
          <w:bottom w:val="nil"/>
          <w:right w:val="nil"/>
          <w:between w:val="nil"/>
        </w:pBdr>
        <w:spacing w:after="0" w:line="276" w:lineRule="auto"/>
        <w:jc w:val="both"/>
        <w:rPr>
          <w:color w:val="000000"/>
          <w:sz w:val="24"/>
          <w:szCs w:val="24"/>
        </w:rPr>
      </w:pPr>
    </w:p>
    <w:p w14:paraId="50E9F5CA" w14:textId="77777777" w:rsidR="005A7B12" w:rsidRPr="002C66CE" w:rsidRDefault="00000000">
      <w:pPr>
        <w:spacing w:after="0" w:line="276" w:lineRule="auto"/>
        <w:jc w:val="both"/>
        <w:rPr>
          <w:sz w:val="24"/>
          <w:szCs w:val="24"/>
        </w:rPr>
      </w:pPr>
      <w:r w:rsidRPr="002C66CE">
        <w:rPr>
          <w:b/>
          <w:bCs/>
          <w:sz w:val="24"/>
          <w:szCs w:val="24"/>
        </w:rPr>
        <w:t xml:space="preserve">CONDIÇÕES DE VENDA - </w:t>
      </w:r>
      <w:r w:rsidRPr="002C66CE">
        <w:rPr>
          <w:sz w:val="24"/>
          <w:szCs w:val="24"/>
        </w:rPr>
        <w:t xml:space="preserve">O leilão eletrônico será conduzido pelo Leiloeiro Oficial </w:t>
      </w:r>
      <w:r w:rsidRPr="002C66CE">
        <w:rPr>
          <w:b/>
          <w:bCs/>
          <w:sz w:val="24"/>
          <w:szCs w:val="24"/>
        </w:rPr>
        <w:t>DANIEL HAMOUI</w:t>
      </w:r>
      <w:r w:rsidRPr="002C66CE">
        <w:rPr>
          <w:sz w:val="24"/>
          <w:szCs w:val="24"/>
        </w:rPr>
        <w:t xml:space="preserve">, através do portal </w:t>
      </w:r>
      <w:r w:rsidRPr="002C66CE">
        <w:rPr>
          <w:b/>
          <w:bCs/>
          <w:sz w:val="24"/>
          <w:szCs w:val="24"/>
        </w:rPr>
        <w:t xml:space="preserve">DH LEILÕES </w:t>
      </w:r>
      <w:hyperlink r:id="rId10">
        <w:r w:rsidR="005A7B12" w:rsidRPr="002C66CE">
          <w:rPr>
            <w:color w:val="0462C1"/>
            <w:sz w:val="24"/>
            <w:szCs w:val="24"/>
            <w:u w:val="single"/>
          </w:rPr>
          <w:t>www.dhleiloes.com.br</w:t>
        </w:r>
      </w:hyperlink>
      <w:r w:rsidRPr="002C66CE">
        <w:rPr>
          <w:sz w:val="24"/>
          <w:szCs w:val="24"/>
        </w:rPr>
        <w:t>.</w:t>
      </w:r>
    </w:p>
    <w:p w14:paraId="3A872A56"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6E700AEB" w14:textId="77777777" w:rsidR="005A7B12" w:rsidRPr="002C66CE" w:rsidRDefault="00000000">
      <w:pPr>
        <w:spacing w:after="0" w:line="276" w:lineRule="auto"/>
        <w:jc w:val="both"/>
        <w:rPr>
          <w:sz w:val="24"/>
          <w:szCs w:val="24"/>
        </w:rPr>
      </w:pPr>
      <w:r w:rsidRPr="002C66CE">
        <w:rPr>
          <w:b/>
          <w:bCs/>
          <w:sz w:val="24"/>
          <w:szCs w:val="24"/>
        </w:rPr>
        <w:t>PAGAMENTO E RECIBO DE ARREMATAÇÃO</w:t>
      </w:r>
      <w:r w:rsidRPr="002C66CE">
        <w:rPr>
          <w:sz w:val="24"/>
          <w:szCs w:val="24"/>
        </w:rPr>
        <w:t>: o pagamento da arrematação poderá ser feito à vista ou parcelado:</w:t>
      </w:r>
    </w:p>
    <w:p w14:paraId="5B5FC5DE" w14:textId="77777777" w:rsidR="005A7B12" w:rsidRPr="002C66CE" w:rsidRDefault="005A7B12">
      <w:pPr>
        <w:widowControl w:val="0"/>
        <w:pBdr>
          <w:top w:val="nil"/>
          <w:left w:val="nil"/>
          <w:bottom w:val="nil"/>
          <w:right w:val="nil"/>
          <w:between w:val="nil"/>
        </w:pBdr>
        <w:spacing w:after="0" w:line="276" w:lineRule="auto"/>
        <w:jc w:val="both"/>
        <w:rPr>
          <w:color w:val="000000"/>
          <w:sz w:val="24"/>
          <w:szCs w:val="24"/>
        </w:rPr>
      </w:pPr>
    </w:p>
    <w:p w14:paraId="0436B017" w14:textId="77777777" w:rsidR="005A7B12" w:rsidRPr="002C66CE" w:rsidRDefault="00000000">
      <w:pPr>
        <w:widowControl w:val="0"/>
        <w:numPr>
          <w:ilvl w:val="0"/>
          <w:numId w:val="1"/>
        </w:numPr>
        <w:pBdr>
          <w:top w:val="nil"/>
          <w:left w:val="nil"/>
          <w:bottom w:val="nil"/>
          <w:right w:val="nil"/>
          <w:between w:val="nil"/>
        </w:pBdr>
        <w:tabs>
          <w:tab w:val="left" w:pos="-426"/>
        </w:tabs>
        <w:spacing w:after="0" w:line="276" w:lineRule="auto"/>
        <w:ind w:left="0" w:firstLine="0"/>
        <w:jc w:val="both"/>
        <w:rPr>
          <w:color w:val="000000"/>
          <w:sz w:val="24"/>
          <w:szCs w:val="24"/>
        </w:rPr>
      </w:pPr>
      <w:r w:rsidRPr="002C66CE">
        <w:rPr>
          <w:b/>
          <w:bCs/>
          <w:color w:val="000000"/>
          <w:sz w:val="24"/>
          <w:szCs w:val="24"/>
        </w:rPr>
        <w:t xml:space="preserve">- </w:t>
      </w:r>
      <w:r w:rsidRPr="002C66CE">
        <w:rPr>
          <w:b/>
          <w:bCs/>
          <w:color w:val="000000"/>
          <w:sz w:val="24"/>
          <w:szCs w:val="24"/>
          <w:u w:val="single"/>
        </w:rPr>
        <w:t>À VISTA</w:t>
      </w:r>
      <w:r w:rsidRPr="002C66CE">
        <w:rPr>
          <w:color w:val="000000"/>
          <w:sz w:val="24"/>
          <w:szCs w:val="24"/>
        </w:rPr>
        <w:t xml:space="preserve">: através de guia de depósito judicial emitida pelo leiloeiro no dia útil seguinte após o término do leilão. </w:t>
      </w:r>
      <w:r w:rsidRPr="002C66CE">
        <w:rPr>
          <w:b/>
          <w:bCs/>
          <w:color w:val="000000"/>
          <w:sz w:val="24"/>
          <w:szCs w:val="24"/>
          <w:u w:val="single"/>
        </w:rPr>
        <w:t>O lance à vista sempre prevalecerá sobre o lance e ou propostas de pagamento parcelado (art. 895, § 7º, do Código de Processo Civil)</w:t>
      </w:r>
      <w:r w:rsidRPr="002C66CE">
        <w:rPr>
          <w:color w:val="000000"/>
          <w:sz w:val="24"/>
          <w:szCs w:val="24"/>
        </w:rPr>
        <w:t>.</w:t>
      </w:r>
    </w:p>
    <w:p w14:paraId="410E1F0C" w14:textId="77777777" w:rsidR="005A7B12" w:rsidRPr="002C66CE" w:rsidRDefault="005A7B12">
      <w:pPr>
        <w:widowControl w:val="0"/>
        <w:pBdr>
          <w:top w:val="nil"/>
          <w:left w:val="nil"/>
          <w:bottom w:val="nil"/>
          <w:right w:val="nil"/>
          <w:between w:val="nil"/>
        </w:pBdr>
        <w:tabs>
          <w:tab w:val="left" w:pos="311"/>
        </w:tabs>
        <w:spacing w:after="0" w:line="276" w:lineRule="auto"/>
        <w:jc w:val="both"/>
        <w:rPr>
          <w:color w:val="000000"/>
          <w:sz w:val="24"/>
          <w:szCs w:val="24"/>
        </w:rPr>
      </w:pPr>
    </w:p>
    <w:p w14:paraId="2CBB99B4" w14:textId="5727FC41" w:rsidR="005A7B12" w:rsidRPr="002C66CE" w:rsidRDefault="00000000" w:rsidP="007B4F4C">
      <w:pPr>
        <w:widowControl w:val="0"/>
        <w:numPr>
          <w:ilvl w:val="0"/>
          <w:numId w:val="1"/>
        </w:numPr>
        <w:pBdr>
          <w:top w:val="nil"/>
          <w:left w:val="nil"/>
          <w:bottom w:val="nil"/>
          <w:right w:val="nil"/>
          <w:between w:val="nil"/>
        </w:pBdr>
        <w:tabs>
          <w:tab w:val="left" w:pos="-426"/>
        </w:tabs>
        <w:spacing w:after="0" w:line="276" w:lineRule="auto"/>
        <w:ind w:left="0" w:firstLine="0"/>
        <w:jc w:val="both"/>
        <w:rPr>
          <w:color w:val="000000"/>
          <w:sz w:val="24"/>
          <w:szCs w:val="24"/>
        </w:rPr>
      </w:pPr>
      <w:r w:rsidRPr="002C66CE">
        <w:rPr>
          <w:b/>
          <w:bCs/>
          <w:color w:val="000000"/>
          <w:sz w:val="24"/>
          <w:szCs w:val="24"/>
        </w:rPr>
        <w:t xml:space="preserve">- </w:t>
      </w:r>
      <w:r w:rsidRPr="002C66CE">
        <w:rPr>
          <w:b/>
          <w:bCs/>
          <w:color w:val="000000"/>
          <w:sz w:val="24"/>
          <w:szCs w:val="24"/>
          <w:u w:val="single"/>
        </w:rPr>
        <w:t>PARCELADO</w:t>
      </w:r>
      <w:r w:rsidRPr="002C66CE">
        <w:rPr>
          <w:color w:val="000000"/>
          <w:sz w:val="24"/>
          <w:szCs w:val="24"/>
        </w:rPr>
        <w:t xml:space="preserve">: para pagamento nesta modalidade, o interessado deverá apresentar até o início do leilão, se possível, sua proposta por escrito, que deverá indicar: a) - </w:t>
      </w:r>
      <w:r w:rsidRPr="002C66CE">
        <w:rPr>
          <w:b/>
          <w:bCs/>
          <w:color w:val="000000"/>
          <w:sz w:val="24"/>
          <w:szCs w:val="24"/>
          <w:u w:val="single"/>
        </w:rPr>
        <w:t>SINAL</w:t>
      </w:r>
      <w:r w:rsidRPr="002C66CE">
        <w:rPr>
          <w:color w:val="000000"/>
          <w:sz w:val="24"/>
          <w:szCs w:val="24"/>
        </w:rPr>
        <w:t xml:space="preserve">: pelo menos 25% (vinte e cinco por cento) do valor do lance à vista, em 24h (vinte e quatro horas) a contar da finalização do leilão; b) - </w:t>
      </w:r>
      <w:r w:rsidRPr="002C66CE">
        <w:rPr>
          <w:b/>
          <w:bCs/>
          <w:color w:val="000000"/>
          <w:sz w:val="24"/>
          <w:szCs w:val="24"/>
          <w:u w:val="single"/>
        </w:rPr>
        <w:t>PRAZO</w:t>
      </w:r>
      <w:r w:rsidRPr="002C66CE">
        <w:rPr>
          <w:color w:val="000000"/>
          <w:sz w:val="24"/>
          <w:szCs w:val="24"/>
        </w:rPr>
        <w:t xml:space="preserve">: o saldo remanescente poderá ser parcelado em até 30 (trinta) meses, corrigido pelo índice IPCA-15 (Lei 14905/2024); c) - </w:t>
      </w:r>
      <w:r w:rsidRPr="002C66CE">
        <w:rPr>
          <w:b/>
          <w:bCs/>
          <w:color w:val="000000"/>
          <w:sz w:val="24"/>
          <w:szCs w:val="24"/>
          <w:u w:val="single"/>
        </w:rPr>
        <w:t>MODALIDADE</w:t>
      </w:r>
      <w:r w:rsidRPr="002C66CE">
        <w:rPr>
          <w:color w:val="000000"/>
          <w:sz w:val="24"/>
          <w:szCs w:val="24"/>
        </w:rPr>
        <w:t xml:space="preserve">: somente será admitido o pagamento das parcelas em guia de depósito judicial vinculada ao processo ; d) - </w:t>
      </w:r>
      <w:r w:rsidRPr="002C66CE">
        <w:rPr>
          <w:b/>
          <w:bCs/>
          <w:color w:val="000000"/>
          <w:sz w:val="24"/>
          <w:szCs w:val="24"/>
          <w:u w:val="single"/>
        </w:rPr>
        <w:t>GARANTIA</w:t>
      </w:r>
      <w:r w:rsidRPr="002C66CE">
        <w:rPr>
          <w:color w:val="000000"/>
          <w:sz w:val="24"/>
          <w:szCs w:val="24"/>
        </w:rPr>
        <w:t>: até a quitação do pagamento, o imóvel arrematado ficará gravado com hipoteca</w:t>
      </w:r>
      <w:r w:rsidR="007B4F4C" w:rsidRPr="002C66CE">
        <w:rPr>
          <w:color w:val="000000"/>
          <w:sz w:val="24"/>
          <w:szCs w:val="24"/>
        </w:rPr>
        <w:t>;</w:t>
      </w:r>
      <w:r w:rsidRPr="002C66CE">
        <w:rPr>
          <w:color w:val="000000"/>
          <w:sz w:val="24"/>
          <w:szCs w:val="24"/>
        </w:rPr>
        <w:t xml:space="preserve"> e) no caso da resolu</w:t>
      </w:r>
      <w:r w:rsidR="00DD7E1A" w:rsidRPr="002C66CE">
        <w:rPr>
          <w:color w:val="000000"/>
          <w:sz w:val="24"/>
          <w:szCs w:val="24"/>
        </w:rPr>
        <w:t>çã</w:t>
      </w:r>
      <w:r w:rsidRPr="002C66CE">
        <w:rPr>
          <w:color w:val="000000"/>
          <w:sz w:val="24"/>
          <w:szCs w:val="24"/>
        </w:rPr>
        <w:t>o da arrematação em razão do § 5º do Art. 895 do CPC a comissão não será devolvida.</w:t>
      </w:r>
    </w:p>
    <w:p w14:paraId="34044EFB" w14:textId="77777777" w:rsidR="005A7B12" w:rsidRPr="002C66CE" w:rsidRDefault="005A7B12">
      <w:pPr>
        <w:widowControl w:val="0"/>
        <w:pBdr>
          <w:top w:val="nil"/>
          <w:left w:val="nil"/>
          <w:bottom w:val="nil"/>
          <w:right w:val="nil"/>
          <w:between w:val="nil"/>
        </w:pBdr>
        <w:tabs>
          <w:tab w:val="left" w:pos="311"/>
        </w:tabs>
        <w:spacing w:after="0" w:line="276" w:lineRule="auto"/>
        <w:jc w:val="both"/>
        <w:rPr>
          <w:color w:val="000000"/>
          <w:sz w:val="24"/>
          <w:szCs w:val="24"/>
        </w:rPr>
      </w:pPr>
    </w:p>
    <w:p w14:paraId="2E918D0C" w14:textId="77777777" w:rsidR="005A7B12" w:rsidRPr="002C66CE" w:rsidRDefault="005A7B12">
      <w:pPr>
        <w:widowControl w:val="0"/>
        <w:pBdr>
          <w:top w:val="nil"/>
          <w:left w:val="nil"/>
          <w:bottom w:val="nil"/>
          <w:right w:val="nil"/>
          <w:between w:val="nil"/>
        </w:pBdr>
        <w:spacing w:after="0" w:line="276" w:lineRule="auto"/>
        <w:ind w:left="112" w:right="105"/>
        <w:jc w:val="both"/>
        <w:rPr>
          <w:color w:val="000000"/>
          <w:sz w:val="24"/>
          <w:szCs w:val="24"/>
        </w:rPr>
      </w:pPr>
    </w:p>
    <w:p w14:paraId="20DCC86C" w14:textId="612E1CCA" w:rsidR="005A7B12" w:rsidRPr="002C66CE" w:rsidRDefault="00000000">
      <w:pPr>
        <w:widowControl w:val="0"/>
        <w:numPr>
          <w:ilvl w:val="0"/>
          <w:numId w:val="1"/>
        </w:numPr>
        <w:pBdr>
          <w:top w:val="nil"/>
          <w:left w:val="nil"/>
          <w:bottom w:val="nil"/>
          <w:right w:val="nil"/>
          <w:between w:val="nil"/>
        </w:pBdr>
        <w:tabs>
          <w:tab w:val="left" w:pos="-284"/>
        </w:tabs>
        <w:spacing w:after="0" w:line="276" w:lineRule="auto"/>
        <w:ind w:left="0" w:firstLine="0"/>
        <w:jc w:val="both"/>
        <w:rPr>
          <w:color w:val="000000"/>
          <w:sz w:val="24"/>
          <w:szCs w:val="24"/>
        </w:rPr>
      </w:pPr>
      <w:r w:rsidRPr="002C66CE">
        <w:rPr>
          <w:b/>
          <w:bCs/>
          <w:color w:val="000000"/>
          <w:sz w:val="24"/>
          <w:szCs w:val="24"/>
        </w:rPr>
        <w:t xml:space="preserve">– </w:t>
      </w:r>
      <w:r w:rsidRPr="002C66CE">
        <w:rPr>
          <w:b/>
          <w:bCs/>
          <w:color w:val="000000"/>
          <w:sz w:val="24"/>
          <w:szCs w:val="24"/>
          <w:u w:val="single"/>
        </w:rPr>
        <w:t>PELOS CRÉDITOS (ART. 892, §1º, CPC)</w:t>
      </w:r>
      <w:r w:rsidRPr="002C66CE">
        <w:rPr>
          <w:color w:val="000000"/>
          <w:sz w:val="24"/>
          <w:szCs w:val="24"/>
        </w:rPr>
        <w:t>: Se o exequente arrematar os bens for o único credor, não é obrigado a exibir o preço. Porém, se o valor do bem exceder ao seu crédito, deve depositar a diferença, em até 3 dias, sob pena de tornar sem efeito a arrematação.</w:t>
      </w:r>
    </w:p>
    <w:p w14:paraId="5101A083" w14:textId="77777777" w:rsidR="005A7B12" w:rsidRPr="002C66CE" w:rsidRDefault="005A7B12">
      <w:pPr>
        <w:widowControl w:val="0"/>
        <w:pBdr>
          <w:top w:val="nil"/>
          <w:left w:val="nil"/>
          <w:bottom w:val="nil"/>
          <w:right w:val="nil"/>
          <w:between w:val="nil"/>
        </w:pBdr>
        <w:spacing w:after="0" w:line="276" w:lineRule="auto"/>
        <w:jc w:val="both"/>
        <w:rPr>
          <w:b/>
          <w:bCs/>
          <w:color w:val="000000"/>
          <w:sz w:val="24"/>
          <w:szCs w:val="24"/>
        </w:rPr>
      </w:pPr>
    </w:p>
    <w:p w14:paraId="4677B428"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COMISSÃO DO LEILOEIRO</w:t>
      </w:r>
      <w:r w:rsidRPr="002C66CE">
        <w:rPr>
          <w:color w:val="000000"/>
          <w:sz w:val="24"/>
          <w:szCs w:val="24"/>
        </w:rPr>
        <w:t xml:space="preserve"> - Fixada em 5% (cinco por cento) sobre o valor da arrematação, não se incluindo no valor do lanço, conforme disposto no Provimento CSM 1625/2009, com as alterações dadas pelo Provimento CSM 2319/15. O pagamento será feito através de depósito </w:t>
      </w:r>
      <w:r w:rsidRPr="002C66CE">
        <w:rPr>
          <w:sz w:val="24"/>
          <w:szCs w:val="24"/>
        </w:rPr>
        <w:t xml:space="preserve">judicial </w:t>
      </w:r>
      <w:r w:rsidRPr="002C66CE">
        <w:rPr>
          <w:color w:val="000000"/>
          <w:sz w:val="24"/>
          <w:szCs w:val="24"/>
        </w:rPr>
        <w:t xml:space="preserve">e o comprovante deverá ser imediatamente encaminhado para: </w:t>
      </w:r>
      <w:hyperlink r:id="rId11">
        <w:r w:rsidR="005A7B12" w:rsidRPr="002C66CE">
          <w:rPr>
            <w:color w:val="0563C1"/>
            <w:sz w:val="24"/>
            <w:szCs w:val="24"/>
            <w:u w:val="single"/>
          </w:rPr>
          <w:t>juridico@dhleiloes.com.br</w:t>
        </w:r>
      </w:hyperlink>
      <w:r w:rsidRPr="002C66CE">
        <w:rPr>
          <w:color w:val="000000"/>
          <w:sz w:val="24"/>
          <w:szCs w:val="24"/>
        </w:rPr>
        <w:t>, salvo disposição diversa do juiz.</w:t>
      </w:r>
    </w:p>
    <w:p w14:paraId="2BFA97BD" w14:textId="77777777" w:rsidR="005A7B12" w:rsidRPr="002C66CE" w:rsidRDefault="005A7B12">
      <w:pPr>
        <w:widowControl w:val="0"/>
        <w:pBdr>
          <w:top w:val="nil"/>
          <w:left w:val="nil"/>
          <w:bottom w:val="nil"/>
          <w:right w:val="nil"/>
          <w:between w:val="nil"/>
        </w:pBdr>
        <w:spacing w:after="0" w:line="276" w:lineRule="auto"/>
        <w:jc w:val="both"/>
        <w:rPr>
          <w:color w:val="000000"/>
          <w:sz w:val="24"/>
          <w:szCs w:val="24"/>
        </w:rPr>
      </w:pPr>
    </w:p>
    <w:p w14:paraId="16264579" w14:textId="77777777"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ACORDO:</w:t>
      </w:r>
      <w:r w:rsidRPr="002C66CE">
        <w:rPr>
          <w:color w:val="000000"/>
          <w:sz w:val="24"/>
          <w:szCs w:val="24"/>
        </w:rPr>
        <w:t xml:space="preserve"> Na hipótese de acordo ou remição após a realização da alienação, o Leiloeiro fará jus a comissão no percentual determinado neste edital sobre o valor da arrematação, conforme (art. 267, § 4º, das NSCGJ e art. 7º, § 3º, da Resolução CNJ n.º 236/2016), a qual será paga pelo executado.</w:t>
      </w:r>
    </w:p>
    <w:p w14:paraId="165E910D" w14:textId="77777777"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p>
    <w:p w14:paraId="01FFED18" w14:textId="79A49821"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r w:rsidRPr="002C66CE">
        <w:rPr>
          <w:color w:val="000000"/>
          <w:sz w:val="24"/>
          <w:szCs w:val="24"/>
        </w:rPr>
        <w:t>A partir do deferimento do Edital para publicação, se as partes entabularem acordo judicial, fica o executado obrigado a pagar a comissão devida à empresa gestora de 3% (três por cento) sobre o valor do bem levado à leilão.</w:t>
      </w:r>
    </w:p>
    <w:p w14:paraId="52377155" w14:textId="77777777"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p>
    <w:p w14:paraId="12447EBA" w14:textId="0722EFFD"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ADJUDICAÇÃO:</w:t>
      </w:r>
      <w:r w:rsidRPr="002C66CE">
        <w:rPr>
          <w:color w:val="000000"/>
          <w:sz w:val="24"/>
          <w:szCs w:val="24"/>
        </w:rPr>
        <w:t xml:space="preserve"> hipótese na qual a comissão da gestora será de 3% (três por cento) sobre o valor de adjudicação, a título de ressarcimento de despesas com o procedimento, acrescido das despesas com a publicação deste edital, a ser pago por aquele que adjudicar.</w:t>
      </w:r>
    </w:p>
    <w:p w14:paraId="68BE50BA" w14:textId="77777777"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p>
    <w:p w14:paraId="45184ADB" w14:textId="6ECD3899" w:rsidR="005A7B12" w:rsidRPr="002C66CE" w:rsidRDefault="00DE4A2A" w:rsidP="00DE4A2A">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EMBARGOS DE TERCEIROS:</w:t>
      </w:r>
      <w:r w:rsidRPr="002C66CE">
        <w:rPr>
          <w:color w:val="000000"/>
          <w:sz w:val="24"/>
          <w:szCs w:val="24"/>
        </w:rPr>
        <w:t xml:space="preserve"> Caso haja, no curso de leilão, interposição de Embargos de Terceiros que, se julgados procedentes venham a cancelar a hasta pública, pagará o Exequente à empresa gestora, a título de ressarcimento de despesas, o percentual de 3% (três por cento) sobre o valor atualizado do bem levado a leilão considerando que foi o Exequente quem deu causa à constrição, já que os atos executivos correm por conta e risco do credor, que deve ser cauteloso, evitando-se o envolvimento de terceiros na relação processual executiva. Por outro lado, sendo os embargos de terceiros julgados improcedentes, pagará o Executado à empresa gestora, a título de ressarcimento de despesas, o percentual de 3% (três por cento) sobre o valor atualizado do bem levado a leilão.</w:t>
      </w:r>
    </w:p>
    <w:p w14:paraId="1238CBE0" w14:textId="77777777" w:rsidR="00DE4A2A" w:rsidRPr="002C66CE" w:rsidRDefault="00DE4A2A" w:rsidP="00DE4A2A">
      <w:pPr>
        <w:widowControl w:val="0"/>
        <w:pBdr>
          <w:top w:val="nil"/>
          <w:left w:val="nil"/>
          <w:bottom w:val="nil"/>
          <w:right w:val="nil"/>
          <w:between w:val="nil"/>
        </w:pBdr>
        <w:spacing w:after="0" w:line="276" w:lineRule="auto"/>
        <w:jc w:val="both"/>
        <w:rPr>
          <w:color w:val="000000"/>
          <w:sz w:val="24"/>
          <w:szCs w:val="24"/>
        </w:rPr>
      </w:pPr>
    </w:p>
    <w:p w14:paraId="4FFC9929"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DO INADIMPLEMENTO</w:t>
      </w:r>
      <w:r w:rsidRPr="002C66CE">
        <w:rPr>
          <w:color w:val="000000"/>
          <w:sz w:val="24"/>
          <w:szCs w:val="24"/>
        </w:rPr>
        <w:t xml:space="preserve"> - Em caso de falta de pagamento ou desistência imotivada do arrematante/proponente a qualquer momento, será cobrada multa moratória no valor de 5% </w:t>
      </w:r>
      <w:r w:rsidRPr="002C66CE">
        <w:rPr>
          <w:color w:val="000000"/>
          <w:sz w:val="24"/>
          <w:szCs w:val="24"/>
        </w:rPr>
        <w:lastRenderedPageBreak/>
        <w:t>(cinco por cento) da arrematação em favor do leiloeiro, sem prejuízo a demais sanções aplicadas pelo MM. Juízo da causa, bem como poderá ainda o leiloeiro emitir título de crédito, para a cobrança de tais valores, encaminhando-o a protesto, por falta de pagamento, se for o caso, bem como sem prejuízo da possibilidade do juízo emitir certidão de crédito em favor do leiloeiro.</w:t>
      </w:r>
    </w:p>
    <w:p w14:paraId="288C9F6D" w14:textId="77777777" w:rsidR="005A7B12" w:rsidRPr="002C66CE" w:rsidRDefault="005A7B12">
      <w:pPr>
        <w:widowControl w:val="0"/>
        <w:pBdr>
          <w:top w:val="nil"/>
          <w:left w:val="nil"/>
          <w:bottom w:val="nil"/>
          <w:right w:val="nil"/>
          <w:between w:val="nil"/>
        </w:pBdr>
        <w:spacing w:after="0" w:line="276" w:lineRule="auto"/>
        <w:rPr>
          <w:color w:val="000000"/>
          <w:sz w:val="24"/>
          <w:szCs w:val="24"/>
        </w:rPr>
      </w:pPr>
    </w:p>
    <w:p w14:paraId="35CCD0CB"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b/>
          <w:bCs/>
          <w:color w:val="000000"/>
          <w:sz w:val="24"/>
          <w:szCs w:val="24"/>
        </w:rPr>
        <w:t xml:space="preserve">DÚVIDAS E ESCLARECIMENTOS - </w:t>
      </w:r>
      <w:r w:rsidRPr="002C66CE">
        <w:rPr>
          <w:color w:val="000000"/>
          <w:sz w:val="24"/>
          <w:szCs w:val="24"/>
        </w:rPr>
        <w:t xml:space="preserve">pelo endereço eletrônico:  </w:t>
      </w:r>
      <w:hyperlink r:id="rId12">
        <w:r w:rsidR="005A7B12" w:rsidRPr="002C66CE">
          <w:rPr>
            <w:color w:val="0462C1"/>
            <w:sz w:val="24"/>
            <w:szCs w:val="24"/>
            <w:u w:val="single"/>
          </w:rPr>
          <w:t>juridico@dhleiloes.com.br</w:t>
        </w:r>
      </w:hyperlink>
      <w:r w:rsidRPr="002C66CE">
        <w:rPr>
          <w:color w:val="000000"/>
          <w:sz w:val="24"/>
          <w:szCs w:val="24"/>
        </w:rPr>
        <w:t xml:space="preserve">. </w:t>
      </w:r>
    </w:p>
    <w:p w14:paraId="0D72DE6E" w14:textId="77777777" w:rsidR="005A7B12" w:rsidRPr="002C66CE" w:rsidRDefault="00000000">
      <w:pPr>
        <w:widowControl w:val="0"/>
        <w:pBdr>
          <w:top w:val="nil"/>
          <w:left w:val="nil"/>
          <w:bottom w:val="nil"/>
          <w:right w:val="nil"/>
          <w:between w:val="nil"/>
        </w:pBdr>
        <w:spacing w:after="0" w:line="276" w:lineRule="auto"/>
        <w:jc w:val="both"/>
        <w:rPr>
          <w:color w:val="000000"/>
          <w:sz w:val="24"/>
          <w:szCs w:val="24"/>
        </w:rPr>
      </w:pPr>
      <w:r w:rsidRPr="002C66CE">
        <w:rPr>
          <w:color w:val="000000"/>
          <w:sz w:val="24"/>
          <w:szCs w:val="24"/>
        </w:rPr>
        <w:t>Todas as regras e condições do Leilão estão disponíveis no Código de Processo Civil e Resolução nº 236 do CNJ.</w:t>
      </w:r>
    </w:p>
    <w:p w14:paraId="0ACBDDE8" w14:textId="77777777" w:rsidR="005A7B12" w:rsidRPr="002C66CE" w:rsidRDefault="00000000">
      <w:pPr>
        <w:spacing w:after="0" w:line="276" w:lineRule="auto"/>
        <w:rPr>
          <w:sz w:val="24"/>
          <w:szCs w:val="24"/>
        </w:rPr>
      </w:pPr>
      <w:r w:rsidRPr="002C66CE">
        <w:rPr>
          <w:sz w:val="24"/>
          <w:szCs w:val="24"/>
        </w:rPr>
        <w:t> </w:t>
      </w:r>
    </w:p>
    <w:p w14:paraId="4A0CCCBF" w14:textId="784B2753" w:rsidR="005A7B12" w:rsidRPr="002C66CE" w:rsidRDefault="00000000">
      <w:pPr>
        <w:widowControl w:val="0"/>
        <w:pBdr>
          <w:top w:val="nil"/>
          <w:left w:val="nil"/>
          <w:bottom w:val="nil"/>
          <w:right w:val="nil"/>
          <w:between w:val="nil"/>
        </w:pBdr>
        <w:spacing w:after="0" w:line="276" w:lineRule="auto"/>
        <w:jc w:val="center"/>
        <w:rPr>
          <w:color w:val="000000"/>
          <w:sz w:val="24"/>
          <w:szCs w:val="24"/>
        </w:rPr>
      </w:pPr>
      <w:r w:rsidRPr="002C66CE">
        <w:rPr>
          <w:color w:val="000000"/>
          <w:sz w:val="24"/>
          <w:szCs w:val="24"/>
        </w:rPr>
        <w:t>São Paulo</w:t>
      </w:r>
      <w:r w:rsidRPr="002C66CE">
        <w:rPr>
          <w:sz w:val="24"/>
          <w:szCs w:val="24"/>
        </w:rPr>
        <w:t xml:space="preserve">, </w:t>
      </w:r>
      <w:r w:rsidR="00D83B02">
        <w:rPr>
          <w:sz w:val="24"/>
          <w:szCs w:val="24"/>
        </w:rPr>
        <w:t>06</w:t>
      </w:r>
      <w:r w:rsidRPr="002C66CE">
        <w:rPr>
          <w:sz w:val="24"/>
          <w:szCs w:val="24"/>
        </w:rPr>
        <w:t xml:space="preserve"> de </w:t>
      </w:r>
      <w:r w:rsidR="00D83B02">
        <w:rPr>
          <w:sz w:val="24"/>
          <w:szCs w:val="24"/>
        </w:rPr>
        <w:t>abril</w:t>
      </w:r>
      <w:r w:rsidRPr="002C66CE">
        <w:rPr>
          <w:sz w:val="24"/>
          <w:szCs w:val="24"/>
        </w:rPr>
        <w:t xml:space="preserve"> de 2026</w:t>
      </w:r>
      <w:r w:rsidRPr="002C66CE">
        <w:rPr>
          <w:color w:val="000000"/>
          <w:sz w:val="24"/>
          <w:szCs w:val="24"/>
        </w:rPr>
        <w:t>.</w:t>
      </w:r>
    </w:p>
    <w:p w14:paraId="68178F74" w14:textId="77777777" w:rsidR="005A7B12" w:rsidRPr="002C66CE" w:rsidRDefault="005A7B12">
      <w:pPr>
        <w:widowControl w:val="0"/>
        <w:pBdr>
          <w:top w:val="nil"/>
          <w:left w:val="nil"/>
          <w:bottom w:val="nil"/>
          <w:right w:val="nil"/>
          <w:between w:val="nil"/>
        </w:pBdr>
        <w:spacing w:after="0" w:line="276" w:lineRule="auto"/>
        <w:jc w:val="center"/>
        <w:rPr>
          <w:color w:val="000000"/>
          <w:sz w:val="24"/>
          <w:szCs w:val="24"/>
        </w:rPr>
      </w:pPr>
    </w:p>
    <w:p w14:paraId="6AE74DB3" w14:textId="77777777" w:rsidR="005A7B12" w:rsidRPr="002C66CE" w:rsidRDefault="00000000">
      <w:pPr>
        <w:widowControl w:val="0"/>
        <w:pBdr>
          <w:top w:val="nil"/>
          <w:left w:val="nil"/>
          <w:bottom w:val="nil"/>
          <w:right w:val="nil"/>
          <w:between w:val="nil"/>
        </w:pBdr>
        <w:spacing w:after="0" w:line="276" w:lineRule="auto"/>
        <w:jc w:val="center"/>
        <w:rPr>
          <w:b/>
          <w:bCs/>
          <w:color w:val="000000"/>
          <w:sz w:val="24"/>
          <w:szCs w:val="24"/>
        </w:rPr>
      </w:pPr>
      <w:r w:rsidRPr="002C66CE">
        <w:rPr>
          <w:b/>
          <w:bCs/>
          <w:color w:val="000000"/>
          <w:sz w:val="24"/>
          <w:szCs w:val="24"/>
        </w:rPr>
        <w:t>D</w:t>
      </w:r>
      <w:r w:rsidRPr="002C66CE">
        <w:rPr>
          <w:b/>
          <w:bCs/>
          <w:sz w:val="24"/>
          <w:szCs w:val="24"/>
        </w:rPr>
        <w:t>ra. Aline Sugahara Bertaco</w:t>
      </w:r>
    </w:p>
    <w:p w14:paraId="469CAFD5" w14:textId="77777777" w:rsidR="005A7B12" w:rsidRDefault="00000000">
      <w:pPr>
        <w:widowControl w:val="0"/>
        <w:pBdr>
          <w:top w:val="nil"/>
          <w:left w:val="nil"/>
          <w:bottom w:val="nil"/>
          <w:right w:val="nil"/>
          <w:between w:val="nil"/>
        </w:pBdr>
        <w:spacing w:after="0" w:line="276" w:lineRule="auto"/>
        <w:jc w:val="center"/>
        <w:rPr>
          <w:color w:val="000000"/>
          <w:sz w:val="24"/>
          <w:szCs w:val="24"/>
        </w:rPr>
      </w:pPr>
      <w:r w:rsidRPr="002C66CE">
        <w:rPr>
          <w:b/>
          <w:bCs/>
          <w:color w:val="000000"/>
          <w:sz w:val="24"/>
          <w:szCs w:val="24"/>
        </w:rPr>
        <w:t>Juí</w:t>
      </w:r>
      <w:r w:rsidRPr="002C66CE">
        <w:rPr>
          <w:b/>
          <w:bCs/>
          <w:sz w:val="24"/>
          <w:szCs w:val="24"/>
        </w:rPr>
        <w:t xml:space="preserve">za </w:t>
      </w:r>
      <w:r w:rsidRPr="002C66CE">
        <w:rPr>
          <w:b/>
          <w:bCs/>
          <w:color w:val="000000"/>
          <w:sz w:val="24"/>
          <w:szCs w:val="24"/>
        </w:rPr>
        <w:t>de Direito</w:t>
      </w:r>
    </w:p>
    <w:sectPr w:rsidR="005A7B12">
      <w:headerReference w:type="default" r:id="rId13"/>
      <w:footerReference w:type="default" r:id="rId14"/>
      <w:pgSz w:w="11906" w:h="16838"/>
      <w:pgMar w:top="2906" w:right="1440" w:bottom="1440" w:left="1440" w:header="1471" w:footer="10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8519C" w14:textId="77777777" w:rsidR="00555B74" w:rsidRDefault="00555B74">
      <w:pPr>
        <w:spacing w:after="0" w:line="240" w:lineRule="auto"/>
      </w:pPr>
      <w:r>
        <w:separator/>
      </w:r>
    </w:p>
  </w:endnote>
  <w:endnote w:type="continuationSeparator" w:id="0">
    <w:p w14:paraId="560EE53F" w14:textId="77777777" w:rsidR="00555B74" w:rsidRDefault="00555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9C6CF2A-AF91-4417-A4D4-0047CF1F7EEF}"/>
    <w:embedBold r:id="rId2" w:fontKey="{37A51B47-0EE6-42B3-B832-07874EA7A7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5137772-3BD4-4ADA-8D5C-B6DB87B552C7}"/>
  </w:font>
  <w:font w:name="Gotham">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10C7F55E-EA68-4D01-9ED0-729E32A36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37CC7" w14:textId="77777777" w:rsidR="005A7B12"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7D63CBB9" wp14:editId="788B6646">
              <wp:simplePos x="0" y="0"/>
              <wp:positionH relativeFrom="column">
                <wp:posOffset>-908537</wp:posOffset>
              </wp:positionH>
              <wp:positionV relativeFrom="paragraph">
                <wp:posOffset>9601200</wp:posOffset>
              </wp:positionV>
              <wp:extent cx="7560000" cy="1091376"/>
              <wp:effectExtent l="0" t="0" r="0" b="0"/>
              <wp:wrapTopAndBottom distT="0" distB="0"/>
              <wp:docPr id="1753936897" name="Agrupar 1753936897"/>
              <wp:cNvGraphicFramePr/>
              <a:graphic xmlns:a="http://schemas.openxmlformats.org/drawingml/2006/main">
                <a:graphicData uri="http://schemas.microsoft.com/office/word/2010/wordprocessingGroup">
                  <wpg:wgp>
                    <wpg:cNvGrpSpPr/>
                    <wpg:grpSpPr>
                      <a:xfrm>
                        <a:off x="0" y="0"/>
                        <a:ext cx="7560000" cy="1091376"/>
                        <a:chOff x="1566000" y="3234300"/>
                        <a:chExt cx="7560000" cy="1091400"/>
                      </a:xfrm>
                    </wpg:grpSpPr>
                    <wpg:grpSp>
                      <wpg:cNvPr id="1943797511" name="Agrupar 1943797511"/>
                      <wpg:cNvGrpSpPr/>
                      <wpg:grpSpPr>
                        <a:xfrm>
                          <a:off x="1566000" y="3234312"/>
                          <a:ext cx="7560000" cy="1091376"/>
                          <a:chOff x="0" y="181710"/>
                          <a:chExt cx="7560000" cy="1091376"/>
                        </a:xfrm>
                      </wpg:grpSpPr>
                      <wps:wsp>
                        <wps:cNvPr id="1933889140" name="Retângulo 1933889140"/>
                        <wps:cNvSpPr/>
                        <wps:spPr>
                          <a:xfrm>
                            <a:off x="0" y="181710"/>
                            <a:ext cx="7560000" cy="1091375"/>
                          </a:xfrm>
                          <a:prstGeom prst="rect">
                            <a:avLst/>
                          </a:prstGeom>
                          <a:noFill/>
                          <a:ln>
                            <a:noFill/>
                          </a:ln>
                        </wps:spPr>
                        <wps:txbx>
                          <w:txbxContent>
                            <w:p w14:paraId="3963E99D"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678767697" name="Forma Livre: Forma 1678767697"/>
                        <wps:cNvSpPr/>
                        <wps:spPr>
                          <a:xfrm>
                            <a:off x="4587044" y="610374"/>
                            <a:ext cx="2972956" cy="662712"/>
                          </a:xfrm>
                          <a:custGeom>
                            <a:avLst/>
                            <a:gdLst/>
                            <a:ahLst/>
                            <a:cxnLst/>
                            <a:rect l="l" t="t" r="r" b="b"/>
                            <a:pathLst>
                              <a:path w="2972956" h="662712" extrusionOk="0">
                                <a:moveTo>
                                  <a:pt x="2972956" y="0"/>
                                </a:moveTo>
                                <a:lnTo>
                                  <a:pt x="2972956" y="662712"/>
                                </a:lnTo>
                                <a:lnTo>
                                  <a:pt x="0" y="662712"/>
                                </a:lnTo>
                                <a:cubicBezTo>
                                  <a:pt x="1891094" y="351536"/>
                                  <a:pt x="2972956" y="0"/>
                                  <a:pt x="2972956" y="0"/>
                                </a:cubicBezTo>
                                <a:close/>
                              </a:path>
                            </a:pathLst>
                          </a:custGeom>
                          <a:solidFill>
                            <a:srgbClr val="5E6CA4"/>
                          </a:solidFill>
                          <a:ln>
                            <a:noFill/>
                          </a:ln>
                        </wps:spPr>
                        <wps:txbx>
                          <w:txbxContent>
                            <w:p w14:paraId="07BD2CCF"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68088107" name="Forma Livre: Forma 68088107"/>
                        <wps:cNvSpPr/>
                        <wps:spPr>
                          <a:xfrm>
                            <a:off x="1" y="610374"/>
                            <a:ext cx="2972956" cy="662712"/>
                          </a:xfrm>
                          <a:custGeom>
                            <a:avLst/>
                            <a:gdLst/>
                            <a:ahLst/>
                            <a:cxnLst/>
                            <a:rect l="l" t="t" r="r" b="b"/>
                            <a:pathLst>
                              <a:path w="2972956" h="662712" extrusionOk="0">
                                <a:moveTo>
                                  <a:pt x="0" y="0"/>
                                </a:moveTo>
                                <a:cubicBezTo>
                                  <a:pt x="0" y="0"/>
                                  <a:pt x="1081862" y="351536"/>
                                  <a:pt x="2972956" y="662712"/>
                                </a:cubicBezTo>
                                <a:lnTo>
                                  <a:pt x="0" y="662712"/>
                                </a:lnTo>
                                <a:lnTo>
                                  <a:pt x="0" y="0"/>
                                </a:lnTo>
                                <a:close/>
                              </a:path>
                            </a:pathLst>
                          </a:custGeom>
                          <a:solidFill>
                            <a:srgbClr val="5E6CA4"/>
                          </a:solidFill>
                          <a:ln>
                            <a:noFill/>
                          </a:ln>
                        </wps:spPr>
                        <wps:txbx>
                          <w:txbxContent>
                            <w:p w14:paraId="0833E455"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222530825" name="Forma Livre: Forma 222530825"/>
                        <wps:cNvSpPr/>
                        <wps:spPr>
                          <a:xfrm>
                            <a:off x="0" y="610374"/>
                            <a:ext cx="1371410" cy="662712"/>
                          </a:xfrm>
                          <a:custGeom>
                            <a:avLst/>
                            <a:gdLst/>
                            <a:ahLst/>
                            <a:cxnLst/>
                            <a:rect l="l" t="t" r="r" b="b"/>
                            <a:pathLst>
                              <a:path w="1371410" h="662712" extrusionOk="0">
                                <a:moveTo>
                                  <a:pt x="0" y="0"/>
                                </a:moveTo>
                                <a:cubicBezTo>
                                  <a:pt x="470637" y="278499"/>
                                  <a:pt x="928688" y="496126"/>
                                  <a:pt x="1371410" y="662712"/>
                                </a:cubicBezTo>
                                <a:lnTo>
                                  <a:pt x="0" y="662712"/>
                                </a:lnTo>
                                <a:lnTo>
                                  <a:pt x="0" y="0"/>
                                </a:lnTo>
                                <a:close/>
                              </a:path>
                            </a:pathLst>
                          </a:custGeom>
                          <a:solidFill>
                            <a:srgbClr val="322A3C"/>
                          </a:solidFill>
                          <a:ln>
                            <a:noFill/>
                          </a:ln>
                        </wps:spPr>
                        <wps:txbx>
                          <w:txbxContent>
                            <w:p w14:paraId="18DE8825"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552106738" name="Forma Livre: Forma 552106738"/>
                        <wps:cNvSpPr/>
                        <wps:spPr>
                          <a:xfrm>
                            <a:off x="6322935" y="610374"/>
                            <a:ext cx="1234948" cy="662712"/>
                          </a:xfrm>
                          <a:custGeom>
                            <a:avLst/>
                            <a:gdLst/>
                            <a:ahLst/>
                            <a:cxnLst/>
                            <a:rect l="l" t="t" r="r" b="b"/>
                            <a:pathLst>
                              <a:path w="1234948" h="662712" extrusionOk="0">
                                <a:moveTo>
                                  <a:pt x="1234948" y="0"/>
                                </a:moveTo>
                                <a:lnTo>
                                  <a:pt x="1234948" y="662712"/>
                                </a:lnTo>
                                <a:lnTo>
                                  <a:pt x="0" y="662712"/>
                                </a:lnTo>
                                <a:cubicBezTo>
                                  <a:pt x="785546" y="351536"/>
                                  <a:pt x="1234948" y="0"/>
                                  <a:pt x="1234948" y="0"/>
                                </a:cubicBezTo>
                                <a:close/>
                              </a:path>
                            </a:pathLst>
                          </a:custGeom>
                          <a:solidFill>
                            <a:srgbClr val="322A3C"/>
                          </a:solidFill>
                          <a:ln>
                            <a:noFill/>
                          </a:ln>
                        </wps:spPr>
                        <wps:txbx>
                          <w:txbxContent>
                            <w:p w14:paraId="6EAC9C79"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132062536" name="Retângulo 1132062536"/>
                        <wps:cNvSpPr/>
                        <wps:spPr>
                          <a:xfrm>
                            <a:off x="2225732" y="790114"/>
                            <a:ext cx="2982207" cy="181409"/>
                          </a:xfrm>
                          <a:prstGeom prst="rect">
                            <a:avLst/>
                          </a:prstGeom>
                          <a:noFill/>
                          <a:ln>
                            <a:noFill/>
                          </a:ln>
                        </wps:spPr>
                        <wps:txbx>
                          <w:txbxContent>
                            <w:p w14:paraId="4A40EDC0" w14:textId="77777777" w:rsidR="005A7B12" w:rsidRDefault="00000000">
                              <w:pPr>
                                <w:spacing w:line="258" w:lineRule="auto"/>
                                <w:jc w:val="center"/>
                                <w:textDirection w:val="btLr"/>
                              </w:pPr>
                              <w:r>
                                <w:rPr>
                                  <w:rFonts w:ascii="Gotham" w:eastAsia="Gotham" w:hAnsi="Gotham" w:cs="Gotham"/>
                                  <w:b/>
                                  <w:color w:val="322A3C"/>
                                  <w:sz w:val="24"/>
                                </w:rPr>
                                <w:t>WWW.DHLEILOES.COM.BR</w:t>
                              </w:r>
                            </w:p>
                          </w:txbxContent>
                        </wps:txbx>
                        <wps:bodyPr spcFirstLastPara="1" wrap="square" lIns="0" tIns="0" rIns="0" bIns="0" anchor="t" anchorCtr="0">
                          <a:noAutofit/>
                        </wps:bodyPr>
                      </wps:wsp>
                      <wps:wsp>
                        <wps:cNvPr id="177874407" name="Retângulo 177874407"/>
                        <wps:cNvSpPr/>
                        <wps:spPr>
                          <a:xfrm>
                            <a:off x="3491315" y="335611"/>
                            <a:ext cx="1103613" cy="146003"/>
                          </a:xfrm>
                          <a:prstGeom prst="rect">
                            <a:avLst/>
                          </a:prstGeom>
                          <a:noFill/>
                          <a:ln>
                            <a:noFill/>
                          </a:ln>
                        </wps:spPr>
                        <wps:txbx>
                          <w:txbxContent>
                            <w:p w14:paraId="33EC6041" w14:textId="77777777" w:rsidR="005A7B12" w:rsidRDefault="00000000">
                              <w:pPr>
                                <w:spacing w:line="258" w:lineRule="auto"/>
                                <w:textDirection w:val="btLr"/>
                              </w:pPr>
                              <w:r>
                                <w:rPr>
                                  <w:rFonts w:ascii="Gotham" w:eastAsia="Gotham" w:hAnsi="Gotham" w:cs="Gotham"/>
                                  <w:color w:val="322A3C"/>
                                  <w:sz w:val="19"/>
                                </w:rPr>
                                <w:t>(11) 5242-1105</w:t>
                              </w:r>
                            </w:p>
                          </w:txbxContent>
                        </wps:txbx>
                        <wps:bodyPr spcFirstLastPara="1" wrap="square" lIns="0" tIns="0" rIns="0" bIns="0" anchor="t" anchorCtr="0">
                          <a:noAutofit/>
                        </wps:bodyPr>
                      </wps:wsp>
                      <wps:wsp>
                        <wps:cNvPr id="1776948441" name="Forma Livre: Forma 1776948441"/>
                        <wps:cNvSpPr/>
                        <wps:spPr>
                          <a:xfrm>
                            <a:off x="3138140" y="242200"/>
                            <a:ext cx="269824" cy="269824"/>
                          </a:xfrm>
                          <a:custGeom>
                            <a:avLst/>
                            <a:gdLst/>
                            <a:ahLst/>
                            <a:cxnLst/>
                            <a:rect l="l" t="t" r="r" b="b"/>
                            <a:pathLst>
                              <a:path w="269824" h="269824" extrusionOk="0">
                                <a:moveTo>
                                  <a:pt x="134912" y="0"/>
                                </a:moveTo>
                                <a:cubicBezTo>
                                  <a:pt x="209423" y="0"/>
                                  <a:pt x="269824" y="60401"/>
                                  <a:pt x="269824" y="134912"/>
                                </a:cubicBezTo>
                                <a:cubicBezTo>
                                  <a:pt x="269824" y="209423"/>
                                  <a:pt x="209423" y="269824"/>
                                  <a:pt x="134912" y="269824"/>
                                </a:cubicBezTo>
                                <a:cubicBezTo>
                                  <a:pt x="60401" y="269824"/>
                                  <a:pt x="0" y="209423"/>
                                  <a:pt x="0" y="134912"/>
                                </a:cubicBezTo>
                                <a:cubicBezTo>
                                  <a:pt x="0" y="60401"/>
                                  <a:pt x="60401" y="0"/>
                                  <a:pt x="134912" y="0"/>
                                </a:cubicBezTo>
                                <a:close/>
                              </a:path>
                            </a:pathLst>
                          </a:custGeom>
                          <a:solidFill>
                            <a:srgbClr val="322A3C"/>
                          </a:solidFill>
                          <a:ln>
                            <a:noFill/>
                          </a:ln>
                        </wps:spPr>
                        <wps:txbx>
                          <w:txbxContent>
                            <w:p w14:paraId="34682C7C"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37390930" name="Forma Livre: Forma 137390930"/>
                        <wps:cNvSpPr/>
                        <wps:spPr>
                          <a:xfrm>
                            <a:off x="3194124" y="301078"/>
                            <a:ext cx="79287" cy="153572"/>
                          </a:xfrm>
                          <a:custGeom>
                            <a:avLst/>
                            <a:gdLst/>
                            <a:ahLst/>
                            <a:cxnLst/>
                            <a:rect l="l" t="t" r="r" b="b"/>
                            <a:pathLst>
                              <a:path w="79287" h="153572" extrusionOk="0">
                                <a:moveTo>
                                  <a:pt x="79287" y="0"/>
                                </a:moveTo>
                                <a:lnTo>
                                  <a:pt x="79287" y="12816"/>
                                </a:lnTo>
                                <a:lnTo>
                                  <a:pt x="68009" y="12259"/>
                                </a:lnTo>
                                <a:cubicBezTo>
                                  <a:pt x="52159" y="14863"/>
                                  <a:pt x="39154" y="22775"/>
                                  <a:pt x="29185" y="35399"/>
                                </a:cubicBezTo>
                                <a:cubicBezTo>
                                  <a:pt x="18682" y="48708"/>
                                  <a:pt x="14021" y="63922"/>
                                  <a:pt x="15354" y="80838"/>
                                </a:cubicBezTo>
                                <a:cubicBezTo>
                                  <a:pt x="16193" y="91431"/>
                                  <a:pt x="19774" y="101159"/>
                                  <a:pt x="25603" y="110036"/>
                                </a:cubicBezTo>
                                <a:cubicBezTo>
                                  <a:pt x="26276" y="111065"/>
                                  <a:pt x="26403" y="111941"/>
                                  <a:pt x="26073" y="113097"/>
                                </a:cubicBezTo>
                                <a:cubicBezTo>
                                  <a:pt x="24054" y="120259"/>
                                  <a:pt x="22098" y="127435"/>
                                  <a:pt x="20041" y="134865"/>
                                </a:cubicBezTo>
                                <a:cubicBezTo>
                                  <a:pt x="20625" y="134776"/>
                                  <a:pt x="20968" y="134738"/>
                                  <a:pt x="21285" y="134662"/>
                                </a:cubicBezTo>
                                <a:cubicBezTo>
                                  <a:pt x="28347" y="132833"/>
                                  <a:pt x="35420" y="131029"/>
                                  <a:pt x="42456" y="129124"/>
                                </a:cubicBezTo>
                                <a:cubicBezTo>
                                  <a:pt x="43752" y="128769"/>
                                  <a:pt x="44704" y="128984"/>
                                  <a:pt x="45822" y="129645"/>
                                </a:cubicBezTo>
                                <a:cubicBezTo>
                                  <a:pt x="54178" y="134579"/>
                                  <a:pt x="62780" y="137624"/>
                                  <a:pt x="71606" y="138697"/>
                                </a:cubicBezTo>
                                <a:lnTo>
                                  <a:pt x="79287" y="137910"/>
                                </a:lnTo>
                                <a:lnTo>
                                  <a:pt x="79287" y="152154"/>
                                </a:lnTo>
                                <a:lnTo>
                                  <a:pt x="61457" y="150256"/>
                                </a:lnTo>
                                <a:cubicBezTo>
                                  <a:pt x="55270" y="148793"/>
                                  <a:pt x="49263" y="146555"/>
                                  <a:pt x="43434" y="143564"/>
                                </a:cubicBezTo>
                                <a:cubicBezTo>
                                  <a:pt x="42761" y="143221"/>
                                  <a:pt x="41796" y="143107"/>
                                  <a:pt x="41059" y="143297"/>
                                </a:cubicBezTo>
                                <a:cubicBezTo>
                                  <a:pt x="32423" y="145482"/>
                                  <a:pt x="23813" y="147717"/>
                                  <a:pt x="15202" y="149978"/>
                                </a:cubicBezTo>
                                <a:cubicBezTo>
                                  <a:pt x="10782" y="151146"/>
                                  <a:pt x="6375" y="152378"/>
                                  <a:pt x="1968" y="153572"/>
                                </a:cubicBezTo>
                                <a:cubicBezTo>
                                  <a:pt x="1765" y="153368"/>
                                  <a:pt x="1562" y="153165"/>
                                  <a:pt x="1359" y="152962"/>
                                </a:cubicBezTo>
                                <a:cubicBezTo>
                                  <a:pt x="1473" y="152695"/>
                                  <a:pt x="1626" y="152429"/>
                                  <a:pt x="1702" y="152150"/>
                                </a:cubicBezTo>
                                <a:cubicBezTo>
                                  <a:pt x="5080" y="139932"/>
                                  <a:pt x="8433" y="127702"/>
                                  <a:pt x="11836" y="115497"/>
                                </a:cubicBezTo>
                                <a:cubicBezTo>
                                  <a:pt x="12167" y="114291"/>
                                  <a:pt x="12078" y="113364"/>
                                  <a:pt x="11481" y="112258"/>
                                </a:cubicBezTo>
                                <a:cubicBezTo>
                                  <a:pt x="2692" y="96104"/>
                                  <a:pt x="0" y="78921"/>
                                  <a:pt x="3315" y="60900"/>
                                </a:cubicBezTo>
                                <a:cubicBezTo>
                                  <a:pt x="6617" y="42967"/>
                                  <a:pt x="15392" y="28070"/>
                                  <a:pt x="29566" y="16590"/>
                                </a:cubicBezTo>
                                <a:cubicBezTo>
                                  <a:pt x="38449" y="9389"/>
                                  <a:pt x="47996" y="4299"/>
                                  <a:pt x="58158" y="1389"/>
                                </a:cubicBezTo>
                                <a:lnTo>
                                  <a:pt x="79287" y="0"/>
                                </a:lnTo>
                                <a:close/>
                              </a:path>
                            </a:pathLst>
                          </a:custGeom>
                          <a:solidFill>
                            <a:srgbClr val="FFFEFD"/>
                          </a:solidFill>
                          <a:ln>
                            <a:noFill/>
                          </a:ln>
                        </wps:spPr>
                        <wps:txbx>
                          <w:txbxContent>
                            <w:p w14:paraId="0284D485"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870465132" name="Forma Livre: Forma 1870465132"/>
                        <wps:cNvSpPr/>
                        <wps:spPr>
                          <a:xfrm>
                            <a:off x="3273410" y="300345"/>
                            <a:ext cx="80771" cy="153022"/>
                          </a:xfrm>
                          <a:custGeom>
                            <a:avLst/>
                            <a:gdLst/>
                            <a:ahLst/>
                            <a:cxnLst/>
                            <a:rect l="l" t="t" r="r" b="b"/>
                            <a:pathLst>
                              <a:path w="80771" h="153022" extrusionOk="0">
                                <a:moveTo>
                                  <a:pt x="11150" y="0"/>
                                </a:moveTo>
                                <a:cubicBezTo>
                                  <a:pt x="28575" y="2337"/>
                                  <a:pt x="43586" y="9931"/>
                                  <a:pt x="55651" y="22885"/>
                                </a:cubicBezTo>
                                <a:cubicBezTo>
                                  <a:pt x="74002" y="42583"/>
                                  <a:pt x="80771" y="65824"/>
                                  <a:pt x="75438" y="92113"/>
                                </a:cubicBezTo>
                                <a:cubicBezTo>
                                  <a:pt x="68351" y="126949"/>
                                  <a:pt x="36957" y="152412"/>
                                  <a:pt x="1270" y="153022"/>
                                </a:cubicBezTo>
                                <a:lnTo>
                                  <a:pt x="0" y="152888"/>
                                </a:lnTo>
                                <a:lnTo>
                                  <a:pt x="0" y="138643"/>
                                </a:lnTo>
                                <a:lnTo>
                                  <a:pt x="19456" y="136652"/>
                                </a:lnTo>
                                <a:cubicBezTo>
                                  <a:pt x="49822" y="126974"/>
                                  <a:pt x="68046" y="97828"/>
                                  <a:pt x="63449" y="66294"/>
                                </a:cubicBezTo>
                                <a:cubicBezTo>
                                  <a:pt x="61315" y="51677"/>
                                  <a:pt x="54673" y="39256"/>
                                  <a:pt x="43776" y="29261"/>
                                </a:cubicBezTo>
                                <a:cubicBezTo>
                                  <a:pt x="35940" y="22079"/>
                                  <a:pt x="27393" y="17151"/>
                                  <a:pt x="18197" y="14450"/>
                                </a:cubicBezTo>
                                <a:lnTo>
                                  <a:pt x="0" y="13550"/>
                                </a:lnTo>
                                <a:lnTo>
                                  <a:pt x="0" y="733"/>
                                </a:lnTo>
                                <a:lnTo>
                                  <a:pt x="11150" y="0"/>
                                </a:lnTo>
                                <a:close/>
                              </a:path>
                            </a:pathLst>
                          </a:custGeom>
                          <a:solidFill>
                            <a:srgbClr val="FFFEFD"/>
                          </a:solidFill>
                          <a:ln>
                            <a:noFill/>
                          </a:ln>
                        </wps:spPr>
                        <wps:txbx>
                          <w:txbxContent>
                            <w:p w14:paraId="049D6FB8"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360563275" name="Forma Livre: Forma 360563275"/>
                        <wps:cNvSpPr/>
                        <wps:spPr>
                          <a:xfrm>
                            <a:off x="3232262" y="340458"/>
                            <a:ext cx="80416" cy="72720"/>
                          </a:xfrm>
                          <a:custGeom>
                            <a:avLst/>
                            <a:gdLst/>
                            <a:ahLst/>
                            <a:cxnLst/>
                            <a:rect l="l" t="t" r="r" b="b"/>
                            <a:pathLst>
                              <a:path w="80416" h="72720" extrusionOk="0">
                                <a:moveTo>
                                  <a:pt x="14516" y="153"/>
                                </a:moveTo>
                                <a:cubicBezTo>
                                  <a:pt x="15926" y="127"/>
                                  <a:pt x="17424" y="0"/>
                                  <a:pt x="18720" y="432"/>
                                </a:cubicBezTo>
                                <a:cubicBezTo>
                                  <a:pt x="19723" y="762"/>
                                  <a:pt x="20764" y="1727"/>
                                  <a:pt x="21285" y="2680"/>
                                </a:cubicBezTo>
                                <a:cubicBezTo>
                                  <a:pt x="22378" y="4661"/>
                                  <a:pt x="23127" y="6807"/>
                                  <a:pt x="24016" y="8903"/>
                                </a:cubicBezTo>
                                <a:cubicBezTo>
                                  <a:pt x="25235" y="11824"/>
                                  <a:pt x="26378" y="14783"/>
                                  <a:pt x="27711" y="17653"/>
                                </a:cubicBezTo>
                                <a:cubicBezTo>
                                  <a:pt x="28473" y="19304"/>
                                  <a:pt x="28422" y="20790"/>
                                  <a:pt x="27381" y="22199"/>
                                </a:cubicBezTo>
                                <a:cubicBezTo>
                                  <a:pt x="26048" y="24029"/>
                                  <a:pt x="24701" y="25857"/>
                                  <a:pt x="23254" y="27597"/>
                                </a:cubicBezTo>
                                <a:cubicBezTo>
                                  <a:pt x="21450" y="29756"/>
                                  <a:pt x="21361" y="30302"/>
                                  <a:pt x="22784" y="32665"/>
                                </a:cubicBezTo>
                                <a:cubicBezTo>
                                  <a:pt x="28918" y="42825"/>
                                  <a:pt x="37401" y="50279"/>
                                  <a:pt x="48450" y="54737"/>
                                </a:cubicBezTo>
                                <a:cubicBezTo>
                                  <a:pt x="50711" y="55664"/>
                                  <a:pt x="51638" y="55473"/>
                                  <a:pt x="53188" y="53607"/>
                                </a:cubicBezTo>
                                <a:cubicBezTo>
                                  <a:pt x="54978" y="51422"/>
                                  <a:pt x="56769" y="49238"/>
                                  <a:pt x="58521" y="47028"/>
                                </a:cubicBezTo>
                                <a:cubicBezTo>
                                  <a:pt x="59868" y="45301"/>
                                  <a:pt x="60592" y="45021"/>
                                  <a:pt x="62662" y="45657"/>
                                </a:cubicBezTo>
                                <a:cubicBezTo>
                                  <a:pt x="63094" y="45796"/>
                                  <a:pt x="63538" y="45924"/>
                                  <a:pt x="63944" y="46101"/>
                                </a:cubicBezTo>
                                <a:cubicBezTo>
                                  <a:pt x="68694" y="48196"/>
                                  <a:pt x="73431" y="50330"/>
                                  <a:pt x="78194" y="52388"/>
                                </a:cubicBezTo>
                                <a:cubicBezTo>
                                  <a:pt x="79756" y="53060"/>
                                  <a:pt x="80416" y="54153"/>
                                  <a:pt x="80340" y="55804"/>
                                </a:cubicBezTo>
                                <a:cubicBezTo>
                                  <a:pt x="80086" y="61646"/>
                                  <a:pt x="78054" y="66421"/>
                                  <a:pt x="72657" y="69456"/>
                                </a:cubicBezTo>
                                <a:cubicBezTo>
                                  <a:pt x="69101" y="71450"/>
                                  <a:pt x="65430" y="72720"/>
                                  <a:pt x="61722" y="72593"/>
                                </a:cubicBezTo>
                                <a:cubicBezTo>
                                  <a:pt x="56997" y="72720"/>
                                  <a:pt x="53061" y="71158"/>
                                  <a:pt x="49035" y="69850"/>
                                </a:cubicBezTo>
                                <a:cubicBezTo>
                                  <a:pt x="34404" y="65113"/>
                                  <a:pt x="23355" y="55664"/>
                                  <a:pt x="13983" y="43866"/>
                                </a:cubicBezTo>
                                <a:cubicBezTo>
                                  <a:pt x="9893" y="38709"/>
                                  <a:pt x="5931" y="33528"/>
                                  <a:pt x="3556" y="27305"/>
                                </a:cubicBezTo>
                                <a:cubicBezTo>
                                  <a:pt x="0" y="17958"/>
                                  <a:pt x="1943" y="9728"/>
                                  <a:pt x="8636" y="2477"/>
                                </a:cubicBezTo>
                                <a:cubicBezTo>
                                  <a:pt x="10224" y="762"/>
                                  <a:pt x="12294" y="191"/>
                                  <a:pt x="14516" y="153"/>
                                </a:cubicBezTo>
                                <a:close/>
                              </a:path>
                            </a:pathLst>
                          </a:custGeom>
                          <a:solidFill>
                            <a:srgbClr val="FFFEFD"/>
                          </a:solidFill>
                          <a:ln>
                            <a:noFill/>
                          </a:ln>
                        </wps:spPr>
                        <wps:txbx>
                          <w:txbxContent>
                            <w:p w14:paraId="1CBC66D6"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432973596" name="Retângulo 432973596"/>
                        <wps:cNvSpPr/>
                        <wps:spPr>
                          <a:xfrm>
                            <a:off x="1055185" y="181710"/>
                            <a:ext cx="2060730" cy="146004"/>
                          </a:xfrm>
                          <a:prstGeom prst="rect">
                            <a:avLst/>
                          </a:prstGeom>
                          <a:noFill/>
                          <a:ln>
                            <a:noFill/>
                          </a:ln>
                        </wps:spPr>
                        <wps:txbx>
                          <w:txbxContent>
                            <w:p w14:paraId="641B171F" w14:textId="77777777" w:rsidR="005A7B12" w:rsidRDefault="00000000">
                              <w:pPr>
                                <w:spacing w:line="258" w:lineRule="auto"/>
                                <w:textDirection w:val="btLr"/>
                              </w:pPr>
                              <w:r>
                                <w:rPr>
                                  <w:rFonts w:ascii="Gotham" w:eastAsia="Gotham" w:hAnsi="Gotham" w:cs="Gotham"/>
                                  <w:color w:val="322A3C"/>
                                  <w:sz w:val="19"/>
                                </w:rPr>
                                <w:t xml:space="preserve">Avenida General Olímpio </w:t>
                              </w:r>
                            </w:p>
                          </w:txbxContent>
                        </wps:txbx>
                        <wps:bodyPr spcFirstLastPara="1" wrap="square" lIns="0" tIns="0" rIns="0" bIns="0" anchor="t" anchorCtr="0">
                          <a:noAutofit/>
                        </wps:bodyPr>
                      </wps:wsp>
                      <wps:wsp>
                        <wps:cNvPr id="1154133619" name="Retângulo 1154133619"/>
                        <wps:cNvSpPr/>
                        <wps:spPr>
                          <a:xfrm>
                            <a:off x="1055185" y="329227"/>
                            <a:ext cx="1778696" cy="146003"/>
                          </a:xfrm>
                          <a:prstGeom prst="rect">
                            <a:avLst/>
                          </a:prstGeom>
                          <a:noFill/>
                          <a:ln>
                            <a:noFill/>
                          </a:ln>
                        </wps:spPr>
                        <wps:txbx>
                          <w:txbxContent>
                            <w:p w14:paraId="4E79FE1B" w14:textId="77777777" w:rsidR="005A7B12" w:rsidRDefault="00000000">
                              <w:pPr>
                                <w:spacing w:line="258" w:lineRule="auto"/>
                                <w:textDirection w:val="btLr"/>
                              </w:pPr>
                              <w:r>
                                <w:rPr>
                                  <w:rFonts w:ascii="Gotham" w:eastAsia="Gotham" w:hAnsi="Gotham" w:cs="Gotham"/>
                                  <w:color w:val="322A3C"/>
                                  <w:sz w:val="19"/>
                                </w:rPr>
                                <w:t>da Silveira, 655 Cj 111 -</w:t>
                              </w:r>
                            </w:p>
                          </w:txbxContent>
                        </wps:txbx>
                        <wps:bodyPr spcFirstLastPara="1" wrap="square" lIns="0" tIns="0" rIns="0" bIns="0" anchor="t" anchorCtr="0">
                          <a:noAutofit/>
                        </wps:bodyPr>
                      </wps:wsp>
                      <wps:wsp>
                        <wps:cNvPr id="685516423" name="Retângulo 685516423"/>
                        <wps:cNvSpPr/>
                        <wps:spPr>
                          <a:xfrm>
                            <a:off x="1055185" y="476745"/>
                            <a:ext cx="2108815" cy="146003"/>
                          </a:xfrm>
                          <a:prstGeom prst="rect">
                            <a:avLst/>
                          </a:prstGeom>
                          <a:noFill/>
                          <a:ln>
                            <a:noFill/>
                          </a:ln>
                        </wps:spPr>
                        <wps:txbx>
                          <w:txbxContent>
                            <w:p w14:paraId="25752FDF" w14:textId="77777777" w:rsidR="005A7B12" w:rsidRDefault="00000000">
                              <w:pPr>
                                <w:spacing w:line="258" w:lineRule="auto"/>
                                <w:textDirection w:val="btLr"/>
                              </w:pPr>
                              <w:r>
                                <w:rPr>
                                  <w:rFonts w:ascii="Gotham" w:eastAsia="Gotham" w:hAnsi="Gotham" w:cs="Gotham"/>
                                  <w:color w:val="322A3C"/>
                                  <w:sz w:val="19"/>
                                </w:rPr>
                                <w:t>Sta Cecília - São Paulo/SP</w:t>
                              </w:r>
                            </w:p>
                          </w:txbxContent>
                        </wps:txbx>
                        <wps:bodyPr spcFirstLastPara="1" wrap="square" lIns="0" tIns="0" rIns="0" bIns="0" anchor="t" anchorCtr="0">
                          <a:noAutofit/>
                        </wps:bodyPr>
                      </wps:wsp>
                      <wps:wsp>
                        <wps:cNvPr id="1275399081" name="Forma Livre: Forma 1275399081"/>
                        <wps:cNvSpPr/>
                        <wps:spPr>
                          <a:xfrm>
                            <a:off x="702005" y="221453"/>
                            <a:ext cx="269824" cy="269824"/>
                          </a:xfrm>
                          <a:custGeom>
                            <a:avLst/>
                            <a:gdLst/>
                            <a:ahLst/>
                            <a:cxnLst/>
                            <a:rect l="l" t="t" r="r" b="b"/>
                            <a:pathLst>
                              <a:path w="269824" h="269824" extrusionOk="0">
                                <a:moveTo>
                                  <a:pt x="134912" y="0"/>
                                </a:moveTo>
                                <a:cubicBezTo>
                                  <a:pt x="209423" y="0"/>
                                  <a:pt x="269824" y="60401"/>
                                  <a:pt x="269824" y="134912"/>
                                </a:cubicBezTo>
                                <a:cubicBezTo>
                                  <a:pt x="269824" y="209423"/>
                                  <a:pt x="209423" y="269824"/>
                                  <a:pt x="134912" y="269824"/>
                                </a:cubicBezTo>
                                <a:cubicBezTo>
                                  <a:pt x="60401" y="269824"/>
                                  <a:pt x="0" y="209423"/>
                                  <a:pt x="0" y="134912"/>
                                </a:cubicBezTo>
                                <a:cubicBezTo>
                                  <a:pt x="0" y="60401"/>
                                  <a:pt x="60401" y="0"/>
                                  <a:pt x="134912" y="0"/>
                                </a:cubicBezTo>
                                <a:close/>
                              </a:path>
                            </a:pathLst>
                          </a:custGeom>
                          <a:solidFill>
                            <a:srgbClr val="322A3C"/>
                          </a:solidFill>
                          <a:ln>
                            <a:noFill/>
                          </a:ln>
                        </wps:spPr>
                        <wps:txbx>
                          <w:txbxContent>
                            <w:p w14:paraId="53D7F9C0"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541705520" name="Forma Livre: Forma 541705520"/>
                        <wps:cNvSpPr/>
                        <wps:spPr>
                          <a:xfrm>
                            <a:off x="788716" y="322534"/>
                            <a:ext cx="96393" cy="105131"/>
                          </a:xfrm>
                          <a:custGeom>
                            <a:avLst/>
                            <a:gdLst/>
                            <a:ahLst/>
                            <a:cxnLst/>
                            <a:rect l="l" t="t" r="r" b="b"/>
                            <a:pathLst>
                              <a:path w="96393" h="105131" extrusionOk="0">
                                <a:moveTo>
                                  <a:pt x="48196" y="0"/>
                                </a:moveTo>
                                <a:lnTo>
                                  <a:pt x="96393" y="37973"/>
                                </a:lnTo>
                                <a:lnTo>
                                  <a:pt x="96393" y="90615"/>
                                </a:lnTo>
                                <a:cubicBezTo>
                                  <a:pt x="96393" y="98590"/>
                                  <a:pt x="90411" y="105131"/>
                                  <a:pt x="83134" y="105131"/>
                                </a:cubicBezTo>
                                <a:lnTo>
                                  <a:pt x="61036" y="105131"/>
                                </a:lnTo>
                                <a:lnTo>
                                  <a:pt x="61036" y="55676"/>
                                </a:lnTo>
                                <a:lnTo>
                                  <a:pt x="35331" y="55676"/>
                                </a:lnTo>
                                <a:lnTo>
                                  <a:pt x="35331" y="105131"/>
                                </a:lnTo>
                                <a:lnTo>
                                  <a:pt x="13259" y="105131"/>
                                </a:lnTo>
                                <a:cubicBezTo>
                                  <a:pt x="5956" y="105131"/>
                                  <a:pt x="0" y="98590"/>
                                  <a:pt x="0" y="90615"/>
                                </a:cubicBezTo>
                                <a:lnTo>
                                  <a:pt x="0" y="37973"/>
                                </a:lnTo>
                                <a:lnTo>
                                  <a:pt x="48196" y="0"/>
                                </a:lnTo>
                                <a:close/>
                              </a:path>
                            </a:pathLst>
                          </a:custGeom>
                          <a:solidFill>
                            <a:srgbClr val="FFFEFD"/>
                          </a:solidFill>
                          <a:ln>
                            <a:noFill/>
                          </a:ln>
                        </wps:spPr>
                        <wps:txbx>
                          <w:txbxContent>
                            <w:p w14:paraId="36072DBC"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826670857" name="Forma Livre: Forma 826670857"/>
                        <wps:cNvSpPr/>
                        <wps:spPr>
                          <a:xfrm>
                            <a:off x="762281" y="285070"/>
                            <a:ext cx="149288" cy="73025"/>
                          </a:xfrm>
                          <a:custGeom>
                            <a:avLst/>
                            <a:gdLst/>
                            <a:ahLst/>
                            <a:cxnLst/>
                            <a:rect l="l" t="t" r="r" b="b"/>
                            <a:pathLst>
                              <a:path w="149288" h="73025" extrusionOk="0">
                                <a:moveTo>
                                  <a:pt x="74587" y="0"/>
                                </a:moveTo>
                                <a:cubicBezTo>
                                  <a:pt x="74625" y="13"/>
                                  <a:pt x="74638" y="13"/>
                                  <a:pt x="74651" y="0"/>
                                </a:cubicBezTo>
                                <a:cubicBezTo>
                                  <a:pt x="74676" y="0"/>
                                  <a:pt x="74727" y="13"/>
                                  <a:pt x="74765" y="89"/>
                                </a:cubicBezTo>
                                <a:cubicBezTo>
                                  <a:pt x="74790" y="153"/>
                                  <a:pt x="77241" y="2096"/>
                                  <a:pt x="80188" y="4407"/>
                                </a:cubicBezTo>
                                <a:lnTo>
                                  <a:pt x="97688" y="18200"/>
                                </a:lnTo>
                                <a:cubicBezTo>
                                  <a:pt x="100635" y="20549"/>
                                  <a:pt x="103060" y="19190"/>
                                  <a:pt x="103060" y="15202"/>
                                </a:cubicBezTo>
                                <a:lnTo>
                                  <a:pt x="103060" y="7582"/>
                                </a:lnTo>
                                <a:cubicBezTo>
                                  <a:pt x="103060" y="3594"/>
                                  <a:pt x="106045" y="330"/>
                                  <a:pt x="109677" y="330"/>
                                </a:cubicBezTo>
                                <a:lnTo>
                                  <a:pt x="115913" y="330"/>
                                </a:lnTo>
                                <a:cubicBezTo>
                                  <a:pt x="119558" y="330"/>
                                  <a:pt x="122517" y="3594"/>
                                  <a:pt x="122517" y="7582"/>
                                </a:cubicBezTo>
                                <a:lnTo>
                                  <a:pt x="122517" y="30544"/>
                                </a:lnTo>
                                <a:cubicBezTo>
                                  <a:pt x="122517" y="34531"/>
                                  <a:pt x="124930" y="39725"/>
                                  <a:pt x="127902" y="42050"/>
                                </a:cubicBezTo>
                                <a:lnTo>
                                  <a:pt x="145644" y="56033"/>
                                </a:lnTo>
                                <a:cubicBezTo>
                                  <a:pt x="148603" y="58369"/>
                                  <a:pt x="149288" y="62916"/>
                                  <a:pt x="147142" y="66142"/>
                                </a:cubicBezTo>
                                <a:lnTo>
                                  <a:pt x="144640" y="69939"/>
                                </a:lnTo>
                                <a:cubicBezTo>
                                  <a:pt x="143205" y="72086"/>
                                  <a:pt x="140894" y="73025"/>
                                  <a:pt x="138608" y="72758"/>
                                </a:cubicBezTo>
                                <a:lnTo>
                                  <a:pt x="74638" y="22365"/>
                                </a:lnTo>
                                <a:lnTo>
                                  <a:pt x="74625" y="22365"/>
                                </a:lnTo>
                                <a:lnTo>
                                  <a:pt x="10655" y="72758"/>
                                </a:lnTo>
                                <a:cubicBezTo>
                                  <a:pt x="8407" y="73025"/>
                                  <a:pt x="6045" y="72086"/>
                                  <a:pt x="4623" y="69939"/>
                                </a:cubicBezTo>
                                <a:lnTo>
                                  <a:pt x="2121" y="66142"/>
                                </a:lnTo>
                                <a:cubicBezTo>
                                  <a:pt x="0" y="62916"/>
                                  <a:pt x="660" y="58369"/>
                                  <a:pt x="3619" y="56033"/>
                                </a:cubicBezTo>
                                <a:lnTo>
                                  <a:pt x="69050" y="4407"/>
                                </a:lnTo>
                                <a:cubicBezTo>
                                  <a:pt x="72034" y="2096"/>
                                  <a:pt x="74485" y="153"/>
                                  <a:pt x="74524" y="89"/>
                                </a:cubicBezTo>
                                <a:cubicBezTo>
                                  <a:pt x="74536" y="13"/>
                                  <a:pt x="74587" y="0"/>
                                  <a:pt x="74587" y="0"/>
                                </a:cubicBezTo>
                                <a:close/>
                              </a:path>
                            </a:pathLst>
                          </a:custGeom>
                          <a:solidFill>
                            <a:srgbClr val="FFFEFD"/>
                          </a:solidFill>
                          <a:ln>
                            <a:noFill/>
                          </a:ln>
                        </wps:spPr>
                        <wps:txbx>
                          <w:txbxContent>
                            <w:p w14:paraId="58E6E856"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333219001" name="Retângulo 333219001"/>
                        <wps:cNvSpPr/>
                        <wps:spPr>
                          <a:xfrm>
                            <a:off x="5291269" y="348770"/>
                            <a:ext cx="2083767" cy="146004"/>
                          </a:xfrm>
                          <a:prstGeom prst="rect">
                            <a:avLst/>
                          </a:prstGeom>
                          <a:noFill/>
                          <a:ln>
                            <a:noFill/>
                          </a:ln>
                        </wps:spPr>
                        <wps:txbx>
                          <w:txbxContent>
                            <w:p w14:paraId="264AAE70" w14:textId="77777777" w:rsidR="005A7B12" w:rsidRDefault="00000000">
                              <w:pPr>
                                <w:spacing w:line="258" w:lineRule="auto"/>
                                <w:textDirection w:val="btLr"/>
                              </w:pPr>
                              <w:r>
                                <w:rPr>
                                  <w:rFonts w:ascii="Gotham" w:eastAsia="Gotham" w:hAnsi="Gotham" w:cs="Gotham"/>
                                  <w:color w:val="322A3C"/>
                                  <w:sz w:val="19"/>
                                </w:rPr>
                                <w:t>juridico@dhleiloes.com.br</w:t>
                              </w:r>
                            </w:p>
                          </w:txbxContent>
                        </wps:txbx>
                        <wps:bodyPr spcFirstLastPara="1" wrap="square" lIns="0" tIns="0" rIns="0" bIns="0" anchor="t" anchorCtr="0">
                          <a:noAutofit/>
                        </wps:bodyPr>
                      </wps:wsp>
                      <wps:wsp>
                        <wps:cNvPr id="581827607" name="Forma Livre: Forma 581827607"/>
                        <wps:cNvSpPr/>
                        <wps:spPr>
                          <a:xfrm>
                            <a:off x="4938097" y="239025"/>
                            <a:ext cx="269824" cy="269824"/>
                          </a:xfrm>
                          <a:custGeom>
                            <a:avLst/>
                            <a:gdLst/>
                            <a:ahLst/>
                            <a:cxnLst/>
                            <a:rect l="l" t="t" r="r" b="b"/>
                            <a:pathLst>
                              <a:path w="269824" h="269824" extrusionOk="0">
                                <a:moveTo>
                                  <a:pt x="134912" y="0"/>
                                </a:moveTo>
                                <a:cubicBezTo>
                                  <a:pt x="209423" y="0"/>
                                  <a:pt x="269824" y="60401"/>
                                  <a:pt x="269824" y="134912"/>
                                </a:cubicBezTo>
                                <a:cubicBezTo>
                                  <a:pt x="269824" y="209423"/>
                                  <a:pt x="209423" y="269824"/>
                                  <a:pt x="134912" y="269824"/>
                                </a:cubicBezTo>
                                <a:cubicBezTo>
                                  <a:pt x="60401" y="269824"/>
                                  <a:pt x="0" y="209423"/>
                                  <a:pt x="0" y="134912"/>
                                </a:cubicBezTo>
                                <a:cubicBezTo>
                                  <a:pt x="0" y="60401"/>
                                  <a:pt x="60401" y="0"/>
                                  <a:pt x="134912" y="0"/>
                                </a:cubicBezTo>
                                <a:close/>
                              </a:path>
                            </a:pathLst>
                          </a:custGeom>
                          <a:solidFill>
                            <a:srgbClr val="322A3C"/>
                          </a:solidFill>
                          <a:ln>
                            <a:noFill/>
                          </a:ln>
                        </wps:spPr>
                        <wps:txbx>
                          <w:txbxContent>
                            <w:p w14:paraId="5D2F6590"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436785595" name="Forma Livre: Forma 436785595"/>
                        <wps:cNvSpPr/>
                        <wps:spPr>
                          <a:xfrm>
                            <a:off x="4986023" y="315706"/>
                            <a:ext cx="32334" cy="122809"/>
                          </a:xfrm>
                          <a:custGeom>
                            <a:avLst/>
                            <a:gdLst/>
                            <a:ahLst/>
                            <a:cxnLst/>
                            <a:rect l="l" t="t" r="r" b="b"/>
                            <a:pathLst>
                              <a:path w="32334" h="122809" extrusionOk="0">
                                <a:moveTo>
                                  <a:pt x="16015" y="0"/>
                                </a:moveTo>
                                <a:lnTo>
                                  <a:pt x="32334" y="2"/>
                                </a:lnTo>
                                <a:lnTo>
                                  <a:pt x="32334" y="11861"/>
                                </a:lnTo>
                                <a:lnTo>
                                  <a:pt x="20536" y="11861"/>
                                </a:lnTo>
                                <a:lnTo>
                                  <a:pt x="32334" y="23696"/>
                                </a:lnTo>
                                <a:lnTo>
                                  <a:pt x="32334" y="41129"/>
                                </a:lnTo>
                                <a:lnTo>
                                  <a:pt x="11875" y="20866"/>
                                </a:lnTo>
                                <a:lnTo>
                                  <a:pt x="11875" y="101841"/>
                                </a:lnTo>
                                <a:lnTo>
                                  <a:pt x="32334" y="81617"/>
                                </a:lnTo>
                                <a:lnTo>
                                  <a:pt x="32334" y="99475"/>
                                </a:lnTo>
                                <a:lnTo>
                                  <a:pt x="20790" y="110883"/>
                                </a:lnTo>
                                <a:lnTo>
                                  <a:pt x="32334" y="110883"/>
                                </a:lnTo>
                                <a:lnTo>
                                  <a:pt x="32334" y="122807"/>
                                </a:lnTo>
                                <a:lnTo>
                                  <a:pt x="16180" y="122809"/>
                                </a:lnTo>
                                <a:cubicBezTo>
                                  <a:pt x="8357" y="122796"/>
                                  <a:pt x="2146" y="117818"/>
                                  <a:pt x="343" y="110121"/>
                                </a:cubicBezTo>
                                <a:cubicBezTo>
                                  <a:pt x="318" y="110033"/>
                                  <a:pt x="267" y="109893"/>
                                  <a:pt x="203" y="109766"/>
                                </a:cubicBezTo>
                                <a:lnTo>
                                  <a:pt x="0" y="109156"/>
                                </a:lnTo>
                                <a:lnTo>
                                  <a:pt x="38" y="13398"/>
                                </a:lnTo>
                                <a:cubicBezTo>
                                  <a:pt x="864" y="10516"/>
                                  <a:pt x="1943" y="7506"/>
                                  <a:pt x="4318" y="5067"/>
                                </a:cubicBezTo>
                                <a:cubicBezTo>
                                  <a:pt x="7582" y="1701"/>
                                  <a:pt x="11519" y="0"/>
                                  <a:pt x="16015" y="0"/>
                                </a:cubicBezTo>
                                <a:close/>
                              </a:path>
                            </a:pathLst>
                          </a:custGeom>
                          <a:solidFill>
                            <a:srgbClr val="FFFEFD"/>
                          </a:solidFill>
                          <a:ln>
                            <a:noFill/>
                          </a:ln>
                        </wps:spPr>
                        <wps:txbx>
                          <w:txbxContent>
                            <w:p w14:paraId="17425ABD"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2098042290" name="Forma Livre: Forma 2098042290"/>
                        <wps:cNvSpPr/>
                        <wps:spPr>
                          <a:xfrm>
                            <a:off x="5018357" y="426590"/>
                            <a:ext cx="54673" cy="11924"/>
                          </a:xfrm>
                          <a:custGeom>
                            <a:avLst/>
                            <a:gdLst/>
                            <a:ahLst/>
                            <a:cxnLst/>
                            <a:rect l="l" t="t" r="r" b="b"/>
                            <a:pathLst>
                              <a:path w="54673" h="11924" extrusionOk="0">
                                <a:moveTo>
                                  <a:pt x="0" y="0"/>
                                </a:moveTo>
                                <a:lnTo>
                                  <a:pt x="54673" y="0"/>
                                </a:lnTo>
                                <a:lnTo>
                                  <a:pt x="54673" y="11919"/>
                                </a:lnTo>
                                <a:lnTo>
                                  <a:pt x="0" y="11924"/>
                                </a:lnTo>
                                <a:lnTo>
                                  <a:pt x="0" y="0"/>
                                </a:lnTo>
                                <a:close/>
                              </a:path>
                            </a:pathLst>
                          </a:custGeom>
                          <a:solidFill>
                            <a:srgbClr val="FFFEFD"/>
                          </a:solidFill>
                          <a:ln>
                            <a:noFill/>
                          </a:ln>
                        </wps:spPr>
                        <wps:bodyPr spcFirstLastPara="1" wrap="square" lIns="91425" tIns="91425" rIns="91425" bIns="91425" anchor="ctr" anchorCtr="0">
                          <a:noAutofit/>
                        </wps:bodyPr>
                      </wps:wsp>
                      <wps:wsp>
                        <wps:cNvPr id="768483693" name="Forma Livre: Forma 768483693"/>
                        <wps:cNvSpPr/>
                        <wps:spPr>
                          <a:xfrm>
                            <a:off x="5018357" y="339403"/>
                            <a:ext cx="54673" cy="75778"/>
                          </a:xfrm>
                          <a:custGeom>
                            <a:avLst/>
                            <a:gdLst/>
                            <a:ahLst/>
                            <a:cxnLst/>
                            <a:rect l="l" t="t" r="r" b="b"/>
                            <a:pathLst>
                              <a:path w="54673" h="75778" extrusionOk="0">
                                <a:moveTo>
                                  <a:pt x="0" y="0"/>
                                </a:moveTo>
                                <a:lnTo>
                                  <a:pt x="394" y="395"/>
                                </a:lnTo>
                                <a:cubicBezTo>
                                  <a:pt x="17285" y="17363"/>
                                  <a:pt x="34188" y="34304"/>
                                  <a:pt x="51092" y="51259"/>
                                </a:cubicBezTo>
                                <a:cubicBezTo>
                                  <a:pt x="52095" y="52275"/>
                                  <a:pt x="53315" y="52796"/>
                                  <a:pt x="54585" y="52808"/>
                                </a:cubicBezTo>
                                <a:lnTo>
                                  <a:pt x="54597" y="52808"/>
                                </a:lnTo>
                                <a:lnTo>
                                  <a:pt x="54673" y="52774"/>
                                </a:lnTo>
                                <a:lnTo>
                                  <a:pt x="54673" y="64684"/>
                                </a:lnTo>
                                <a:lnTo>
                                  <a:pt x="54648" y="64695"/>
                                </a:lnTo>
                                <a:cubicBezTo>
                                  <a:pt x="50140" y="64695"/>
                                  <a:pt x="45783" y="62803"/>
                                  <a:pt x="42342" y="59349"/>
                                </a:cubicBezTo>
                                <a:lnTo>
                                  <a:pt x="29883" y="46852"/>
                                </a:lnTo>
                                <a:cubicBezTo>
                                  <a:pt x="29769" y="46751"/>
                                  <a:pt x="29654" y="46649"/>
                                  <a:pt x="29566" y="46560"/>
                                </a:cubicBezTo>
                                <a:lnTo>
                                  <a:pt x="0" y="75778"/>
                                </a:lnTo>
                                <a:lnTo>
                                  <a:pt x="0" y="57920"/>
                                </a:lnTo>
                                <a:lnTo>
                                  <a:pt x="20460" y="37695"/>
                                </a:lnTo>
                                <a:lnTo>
                                  <a:pt x="0" y="17433"/>
                                </a:lnTo>
                                <a:lnTo>
                                  <a:pt x="0" y="0"/>
                                </a:lnTo>
                                <a:close/>
                              </a:path>
                            </a:pathLst>
                          </a:custGeom>
                          <a:solidFill>
                            <a:srgbClr val="FFFEFD"/>
                          </a:solidFill>
                          <a:ln>
                            <a:noFill/>
                          </a:ln>
                        </wps:spPr>
                        <wps:txbx>
                          <w:txbxContent>
                            <w:p w14:paraId="7522EB7D"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711805273" name="Forma Livre: Forma 711805273"/>
                        <wps:cNvSpPr/>
                        <wps:spPr>
                          <a:xfrm>
                            <a:off x="5018357" y="315708"/>
                            <a:ext cx="54673" cy="11860"/>
                          </a:xfrm>
                          <a:custGeom>
                            <a:avLst/>
                            <a:gdLst/>
                            <a:ahLst/>
                            <a:cxnLst/>
                            <a:rect l="l" t="t" r="r" b="b"/>
                            <a:pathLst>
                              <a:path w="54673" h="11860" extrusionOk="0">
                                <a:moveTo>
                                  <a:pt x="0" y="0"/>
                                </a:moveTo>
                                <a:lnTo>
                                  <a:pt x="54673" y="5"/>
                                </a:lnTo>
                                <a:lnTo>
                                  <a:pt x="54673" y="11860"/>
                                </a:lnTo>
                                <a:lnTo>
                                  <a:pt x="0" y="11860"/>
                                </a:lnTo>
                                <a:lnTo>
                                  <a:pt x="0" y="0"/>
                                </a:lnTo>
                                <a:close/>
                              </a:path>
                            </a:pathLst>
                          </a:custGeom>
                          <a:solidFill>
                            <a:srgbClr val="FFFEFD"/>
                          </a:solidFill>
                          <a:ln>
                            <a:noFill/>
                          </a:ln>
                        </wps:spPr>
                        <wps:bodyPr spcFirstLastPara="1" wrap="square" lIns="91425" tIns="91425" rIns="91425" bIns="91425" anchor="ctr" anchorCtr="0">
                          <a:noAutofit/>
                        </wps:bodyPr>
                      </wps:wsp>
                      <wps:wsp>
                        <wps:cNvPr id="1000819665" name="Forma Livre: Forma 1000819665"/>
                        <wps:cNvSpPr/>
                        <wps:spPr>
                          <a:xfrm>
                            <a:off x="5073031" y="426590"/>
                            <a:ext cx="54509" cy="11919"/>
                          </a:xfrm>
                          <a:custGeom>
                            <a:avLst/>
                            <a:gdLst/>
                            <a:ahLst/>
                            <a:cxnLst/>
                            <a:rect l="l" t="t" r="r" b="b"/>
                            <a:pathLst>
                              <a:path w="54509" h="11919" extrusionOk="0">
                                <a:moveTo>
                                  <a:pt x="0" y="0"/>
                                </a:moveTo>
                                <a:lnTo>
                                  <a:pt x="54509" y="0"/>
                                </a:lnTo>
                                <a:lnTo>
                                  <a:pt x="54509" y="11915"/>
                                </a:lnTo>
                                <a:lnTo>
                                  <a:pt x="0" y="11919"/>
                                </a:lnTo>
                                <a:lnTo>
                                  <a:pt x="0" y="0"/>
                                </a:lnTo>
                                <a:close/>
                              </a:path>
                            </a:pathLst>
                          </a:custGeom>
                          <a:solidFill>
                            <a:srgbClr val="FFFEFD"/>
                          </a:solidFill>
                          <a:ln>
                            <a:noFill/>
                          </a:ln>
                        </wps:spPr>
                        <wps:bodyPr spcFirstLastPara="1" wrap="square" lIns="91425" tIns="91425" rIns="91425" bIns="91425" anchor="ctr" anchorCtr="0">
                          <a:noAutofit/>
                        </wps:bodyPr>
                      </wps:wsp>
                      <wps:wsp>
                        <wps:cNvPr id="433027437" name="Forma Livre: Forma 433027437"/>
                        <wps:cNvSpPr/>
                        <wps:spPr>
                          <a:xfrm>
                            <a:off x="5073031" y="339521"/>
                            <a:ext cx="54509" cy="75482"/>
                          </a:xfrm>
                          <a:custGeom>
                            <a:avLst/>
                            <a:gdLst/>
                            <a:ahLst/>
                            <a:cxnLst/>
                            <a:rect l="l" t="t" r="r" b="b"/>
                            <a:pathLst>
                              <a:path w="54509" h="75482" extrusionOk="0">
                                <a:moveTo>
                                  <a:pt x="54509" y="0"/>
                                </a:moveTo>
                                <a:lnTo>
                                  <a:pt x="54509" y="17441"/>
                                </a:lnTo>
                                <a:lnTo>
                                  <a:pt x="33998" y="37704"/>
                                </a:lnTo>
                                <a:lnTo>
                                  <a:pt x="54509" y="57993"/>
                                </a:lnTo>
                                <a:lnTo>
                                  <a:pt x="54509" y="75482"/>
                                </a:lnTo>
                                <a:lnTo>
                                  <a:pt x="25159" y="46441"/>
                                </a:lnTo>
                                <a:lnTo>
                                  <a:pt x="22657" y="48930"/>
                                </a:lnTo>
                                <a:cubicBezTo>
                                  <a:pt x="19253" y="52308"/>
                                  <a:pt x="15761" y="55776"/>
                                  <a:pt x="12268" y="59268"/>
                                </a:cubicBezTo>
                                <a:lnTo>
                                  <a:pt x="0" y="64566"/>
                                </a:lnTo>
                                <a:lnTo>
                                  <a:pt x="0" y="52656"/>
                                </a:lnTo>
                                <a:lnTo>
                                  <a:pt x="3696" y="50988"/>
                                </a:lnTo>
                                <a:lnTo>
                                  <a:pt x="54509" y="0"/>
                                </a:lnTo>
                                <a:close/>
                              </a:path>
                            </a:pathLst>
                          </a:custGeom>
                          <a:solidFill>
                            <a:srgbClr val="FFFEFD"/>
                          </a:solidFill>
                          <a:ln>
                            <a:noFill/>
                          </a:ln>
                        </wps:spPr>
                        <wps:txbx>
                          <w:txbxContent>
                            <w:p w14:paraId="3DD8A77E"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84973560" name="Forma Livre: Forma 84973560"/>
                        <wps:cNvSpPr/>
                        <wps:spPr>
                          <a:xfrm>
                            <a:off x="5073031" y="315713"/>
                            <a:ext cx="54509" cy="11855"/>
                          </a:xfrm>
                          <a:custGeom>
                            <a:avLst/>
                            <a:gdLst/>
                            <a:ahLst/>
                            <a:cxnLst/>
                            <a:rect l="l" t="t" r="r" b="b"/>
                            <a:pathLst>
                              <a:path w="54509" h="11855" extrusionOk="0">
                                <a:moveTo>
                                  <a:pt x="0" y="0"/>
                                </a:moveTo>
                                <a:lnTo>
                                  <a:pt x="54509" y="5"/>
                                </a:lnTo>
                                <a:lnTo>
                                  <a:pt x="54509" y="11855"/>
                                </a:lnTo>
                                <a:lnTo>
                                  <a:pt x="0" y="11855"/>
                                </a:lnTo>
                                <a:lnTo>
                                  <a:pt x="0" y="0"/>
                                </a:lnTo>
                                <a:close/>
                              </a:path>
                            </a:pathLst>
                          </a:custGeom>
                          <a:solidFill>
                            <a:srgbClr val="FFFEFD"/>
                          </a:solidFill>
                          <a:ln>
                            <a:noFill/>
                          </a:ln>
                        </wps:spPr>
                        <wps:bodyPr spcFirstLastPara="1" wrap="square" lIns="91425" tIns="91425" rIns="91425" bIns="91425" anchor="ctr" anchorCtr="0">
                          <a:noAutofit/>
                        </wps:bodyPr>
                      </wps:wsp>
                      <wps:wsp>
                        <wps:cNvPr id="991747231" name="Forma Livre: Forma 991747231"/>
                        <wps:cNvSpPr/>
                        <wps:spPr>
                          <a:xfrm>
                            <a:off x="5127539" y="315717"/>
                            <a:ext cx="32448" cy="122787"/>
                          </a:xfrm>
                          <a:custGeom>
                            <a:avLst/>
                            <a:gdLst/>
                            <a:ahLst/>
                            <a:cxnLst/>
                            <a:rect l="l" t="t" r="r" b="b"/>
                            <a:pathLst>
                              <a:path w="32448" h="122787" extrusionOk="0">
                                <a:moveTo>
                                  <a:pt x="0" y="0"/>
                                </a:moveTo>
                                <a:lnTo>
                                  <a:pt x="16408" y="2"/>
                                </a:lnTo>
                                <a:cubicBezTo>
                                  <a:pt x="25387" y="2"/>
                                  <a:pt x="32423" y="7024"/>
                                  <a:pt x="32436" y="16004"/>
                                </a:cubicBezTo>
                                <a:cubicBezTo>
                                  <a:pt x="32448" y="46268"/>
                                  <a:pt x="32448" y="76532"/>
                                  <a:pt x="32436" y="106783"/>
                                </a:cubicBezTo>
                                <a:cubicBezTo>
                                  <a:pt x="32423" y="115762"/>
                                  <a:pt x="25387" y="122786"/>
                                  <a:pt x="16408" y="122786"/>
                                </a:cubicBezTo>
                                <a:lnTo>
                                  <a:pt x="0" y="122787"/>
                                </a:lnTo>
                                <a:lnTo>
                                  <a:pt x="0" y="110872"/>
                                </a:lnTo>
                                <a:lnTo>
                                  <a:pt x="11709" y="110872"/>
                                </a:lnTo>
                                <a:lnTo>
                                  <a:pt x="0" y="99286"/>
                                </a:lnTo>
                                <a:lnTo>
                                  <a:pt x="0" y="81797"/>
                                </a:lnTo>
                                <a:lnTo>
                                  <a:pt x="20510" y="102084"/>
                                </a:lnTo>
                                <a:lnTo>
                                  <a:pt x="20510" y="20982"/>
                                </a:lnTo>
                                <a:lnTo>
                                  <a:pt x="0" y="41245"/>
                                </a:lnTo>
                                <a:lnTo>
                                  <a:pt x="0" y="23804"/>
                                </a:lnTo>
                                <a:lnTo>
                                  <a:pt x="11912" y="11850"/>
                                </a:lnTo>
                                <a:lnTo>
                                  <a:pt x="0" y="11850"/>
                                </a:lnTo>
                                <a:lnTo>
                                  <a:pt x="0" y="0"/>
                                </a:lnTo>
                                <a:close/>
                              </a:path>
                            </a:pathLst>
                          </a:custGeom>
                          <a:solidFill>
                            <a:srgbClr val="FFFEFD"/>
                          </a:solidFill>
                          <a:ln>
                            <a:noFill/>
                          </a:ln>
                        </wps:spPr>
                        <wps:txbx>
                          <w:txbxContent>
                            <w:p w14:paraId="46ED458B"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-908537</wp:posOffset>
              </wp:positionH>
              <wp:positionV relativeFrom="paragraph">
                <wp:posOffset>9601200</wp:posOffset>
              </wp:positionV>
              <wp:extent cx="7560000" cy="1091376"/>
              <wp:effectExtent b="0" l="0" r="0" t="0"/>
              <wp:wrapTopAndBottom distB="0" distT="0"/>
              <wp:docPr id="175393689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560000" cy="1091376"/>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DA0DF" w14:textId="77777777" w:rsidR="00555B74" w:rsidRDefault="00555B74">
      <w:pPr>
        <w:spacing w:after="0" w:line="240" w:lineRule="auto"/>
      </w:pPr>
      <w:r>
        <w:separator/>
      </w:r>
    </w:p>
  </w:footnote>
  <w:footnote w:type="continuationSeparator" w:id="0">
    <w:p w14:paraId="44A41C82" w14:textId="77777777" w:rsidR="00555B74" w:rsidRDefault="00555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AADC" w14:textId="77777777" w:rsidR="005A7B12"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hidden="0" allowOverlap="1" wp14:anchorId="1F7DC525" wp14:editId="3700D8FC">
              <wp:simplePos x="0" y="0"/>
              <wp:positionH relativeFrom="page">
                <wp:posOffset>2117</wp:posOffset>
              </wp:positionH>
              <wp:positionV relativeFrom="page">
                <wp:posOffset>0</wp:posOffset>
              </wp:positionV>
              <wp:extent cx="7560000" cy="662711"/>
              <wp:effectExtent l="0" t="0" r="0" b="0"/>
              <wp:wrapTopAndBottom distT="0" distB="0"/>
              <wp:docPr id="1753936898" name="Agrupar 1753936898"/>
              <wp:cNvGraphicFramePr/>
              <a:graphic xmlns:a="http://schemas.openxmlformats.org/drawingml/2006/main">
                <a:graphicData uri="http://schemas.microsoft.com/office/word/2010/wordprocessingGroup">
                  <wpg:wgp>
                    <wpg:cNvGrpSpPr/>
                    <wpg:grpSpPr>
                      <a:xfrm>
                        <a:off x="0" y="0"/>
                        <a:ext cx="7560000" cy="662711"/>
                        <a:chOff x="1566000" y="3448625"/>
                        <a:chExt cx="7560000" cy="662750"/>
                      </a:xfrm>
                    </wpg:grpSpPr>
                    <wpg:grpSp>
                      <wpg:cNvPr id="1980355687" name="Agrupar 1980355687"/>
                      <wpg:cNvGrpSpPr/>
                      <wpg:grpSpPr>
                        <a:xfrm>
                          <a:off x="1566000" y="3448645"/>
                          <a:ext cx="7560000" cy="662711"/>
                          <a:chOff x="0" y="0"/>
                          <a:chExt cx="7560000" cy="662711"/>
                        </a:xfrm>
                      </wpg:grpSpPr>
                      <wps:wsp>
                        <wps:cNvPr id="211789361" name="Retângulo 211789361"/>
                        <wps:cNvSpPr/>
                        <wps:spPr>
                          <a:xfrm>
                            <a:off x="0" y="0"/>
                            <a:ext cx="7560000" cy="662700"/>
                          </a:xfrm>
                          <a:prstGeom prst="rect">
                            <a:avLst/>
                          </a:prstGeom>
                          <a:noFill/>
                          <a:ln>
                            <a:noFill/>
                          </a:ln>
                        </wps:spPr>
                        <wps:txbx>
                          <w:txbxContent>
                            <w:p w14:paraId="16DF8531"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295867809" name="Forma Livre: Forma 1295867809"/>
                        <wps:cNvSpPr/>
                        <wps:spPr>
                          <a:xfrm>
                            <a:off x="0" y="0"/>
                            <a:ext cx="2972956" cy="662711"/>
                          </a:xfrm>
                          <a:custGeom>
                            <a:avLst/>
                            <a:gdLst/>
                            <a:ahLst/>
                            <a:cxnLst/>
                            <a:rect l="l" t="t" r="r" b="b"/>
                            <a:pathLst>
                              <a:path w="2972956" h="662711" extrusionOk="0">
                                <a:moveTo>
                                  <a:pt x="0" y="0"/>
                                </a:moveTo>
                                <a:lnTo>
                                  <a:pt x="2972956" y="0"/>
                                </a:lnTo>
                                <a:cubicBezTo>
                                  <a:pt x="1081862" y="311175"/>
                                  <a:pt x="0" y="662711"/>
                                  <a:pt x="0" y="662711"/>
                                </a:cubicBezTo>
                                <a:lnTo>
                                  <a:pt x="0" y="0"/>
                                </a:lnTo>
                                <a:close/>
                              </a:path>
                            </a:pathLst>
                          </a:custGeom>
                          <a:solidFill>
                            <a:srgbClr val="5E6CA4"/>
                          </a:solidFill>
                          <a:ln>
                            <a:noFill/>
                          </a:ln>
                        </wps:spPr>
                        <wps:txbx>
                          <w:txbxContent>
                            <w:p w14:paraId="21A91658"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93065958" name="Forma Livre: Forma 193065958"/>
                        <wps:cNvSpPr/>
                        <wps:spPr>
                          <a:xfrm>
                            <a:off x="4587044" y="0"/>
                            <a:ext cx="2972956" cy="662711"/>
                          </a:xfrm>
                          <a:custGeom>
                            <a:avLst/>
                            <a:gdLst/>
                            <a:ahLst/>
                            <a:cxnLst/>
                            <a:rect l="l" t="t" r="r" b="b"/>
                            <a:pathLst>
                              <a:path w="2972956" h="662711" extrusionOk="0">
                                <a:moveTo>
                                  <a:pt x="0" y="0"/>
                                </a:moveTo>
                                <a:lnTo>
                                  <a:pt x="2972956" y="0"/>
                                </a:lnTo>
                                <a:lnTo>
                                  <a:pt x="2972956" y="662711"/>
                                </a:lnTo>
                                <a:cubicBezTo>
                                  <a:pt x="2972956" y="662711"/>
                                  <a:pt x="1891094" y="311175"/>
                                  <a:pt x="0" y="0"/>
                                </a:cubicBezTo>
                                <a:close/>
                              </a:path>
                            </a:pathLst>
                          </a:custGeom>
                          <a:solidFill>
                            <a:srgbClr val="5E6CA4"/>
                          </a:solidFill>
                          <a:ln>
                            <a:noFill/>
                          </a:ln>
                        </wps:spPr>
                        <wps:txbx>
                          <w:txbxContent>
                            <w:p w14:paraId="7C87726C"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524653405" name="Forma Livre: Forma 1524653405"/>
                        <wps:cNvSpPr/>
                        <wps:spPr>
                          <a:xfrm>
                            <a:off x="6188591" y="0"/>
                            <a:ext cx="1371409" cy="662711"/>
                          </a:xfrm>
                          <a:custGeom>
                            <a:avLst/>
                            <a:gdLst/>
                            <a:ahLst/>
                            <a:cxnLst/>
                            <a:rect l="l" t="t" r="r" b="b"/>
                            <a:pathLst>
                              <a:path w="1371409" h="662711" extrusionOk="0">
                                <a:moveTo>
                                  <a:pt x="0" y="0"/>
                                </a:moveTo>
                                <a:lnTo>
                                  <a:pt x="1371409" y="0"/>
                                </a:lnTo>
                                <a:lnTo>
                                  <a:pt x="1371409" y="662711"/>
                                </a:lnTo>
                                <a:cubicBezTo>
                                  <a:pt x="900773" y="384213"/>
                                  <a:pt x="442722" y="166586"/>
                                  <a:pt x="0" y="0"/>
                                </a:cubicBezTo>
                                <a:close/>
                              </a:path>
                            </a:pathLst>
                          </a:custGeom>
                          <a:solidFill>
                            <a:srgbClr val="322A3C"/>
                          </a:solidFill>
                          <a:ln>
                            <a:noFill/>
                          </a:ln>
                        </wps:spPr>
                        <wps:txbx>
                          <w:txbxContent>
                            <w:p w14:paraId="1BB8C082"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s:wsp>
                        <wps:cNvPr id="1946797242" name="Forma Livre: Forma 1946797242"/>
                        <wps:cNvSpPr/>
                        <wps:spPr>
                          <a:xfrm>
                            <a:off x="2117" y="0"/>
                            <a:ext cx="1234948" cy="662711"/>
                          </a:xfrm>
                          <a:custGeom>
                            <a:avLst/>
                            <a:gdLst/>
                            <a:ahLst/>
                            <a:cxnLst/>
                            <a:rect l="l" t="t" r="r" b="b"/>
                            <a:pathLst>
                              <a:path w="1234948" h="662711" extrusionOk="0">
                                <a:moveTo>
                                  <a:pt x="0" y="0"/>
                                </a:moveTo>
                                <a:lnTo>
                                  <a:pt x="1234948" y="0"/>
                                </a:lnTo>
                                <a:cubicBezTo>
                                  <a:pt x="449402" y="311175"/>
                                  <a:pt x="0" y="662711"/>
                                  <a:pt x="0" y="662711"/>
                                </a:cubicBezTo>
                                <a:lnTo>
                                  <a:pt x="0" y="0"/>
                                </a:lnTo>
                                <a:close/>
                              </a:path>
                            </a:pathLst>
                          </a:custGeom>
                          <a:solidFill>
                            <a:srgbClr val="322A3C"/>
                          </a:solidFill>
                          <a:ln>
                            <a:noFill/>
                          </a:ln>
                        </wps:spPr>
                        <wps:txbx>
                          <w:txbxContent>
                            <w:p w14:paraId="2880A9C9" w14:textId="77777777" w:rsidR="005A7B12" w:rsidRDefault="005A7B12">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2117</wp:posOffset>
              </wp:positionH>
              <wp:positionV relativeFrom="page">
                <wp:posOffset>0</wp:posOffset>
              </wp:positionV>
              <wp:extent cx="7560000" cy="662711"/>
              <wp:effectExtent b="0" l="0" r="0" t="0"/>
              <wp:wrapTopAndBottom distB="0" distT="0"/>
              <wp:docPr id="175393689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0000" cy="662711"/>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6910C65" wp14:editId="75955827">
          <wp:simplePos x="0" y="0"/>
          <wp:positionH relativeFrom="column">
            <wp:posOffset>1953553</wp:posOffset>
          </wp:positionH>
          <wp:positionV relativeFrom="paragraph">
            <wp:posOffset>-662939</wp:posOffset>
          </wp:positionV>
          <wp:extent cx="1846385" cy="1230447"/>
          <wp:effectExtent l="0" t="0" r="0" b="0"/>
          <wp:wrapNone/>
          <wp:docPr id="1753936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46385" cy="12304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738EC"/>
    <w:multiLevelType w:val="multilevel"/>
    <w:tmpl w:val="D9621D70"/>
    <w:lvl w:ilvl="0">
      <w:start w:val="1"/>
      <w:numFmt w:val="upperRoman"/>
      <w:lvlText w:val="%1"/>
      <w:lvlJc w:val="left"/>
      <w:pPr>
        <w:ind w:left="112" w:hanging="109"/>
      </w:pPr>
      <w:rPr>
        <w:rFonts w:ascii="Calibri" w:eastAsia="Calibri" w:hAnsi="Calibri" w:cs="Calibri"/>
        <w:b/>
        <w:bCs/>
        <w:sz w:val="24"/>
        <w:szCs w:val="24"/>
      </w:rPr>
    </w:lvl>
    <w:lvl w:ilvl="1">
      <w:numFmt w:val="bullet"/>
      <w:lvlText w:val="•"/>
      <w:lvlJc w:val="left"/>
      <w:pPr>
        <w:ind w:left="1122" w:hanging="109"/>
      </w:pPr>
    </w:lvl>
    <w:lvl w:ilvl="2">
      <w:numFmt w:val="bullet"/>
      <w:lvlText w:val="•"/>
      <w:lvlJc w:val="left"/>
      <w:pPr>
        <w:ind w:left="2125" w:hanging="109"/>
      </w:pPr>
    </w:lvl>
    <w:lvl w:ilvl="3">
      <w:numFmt w:val="bullet"/>
      <w:lvlText w:val="•"/>
      <w:lvlJc w:val="left"/>
      <w:pPr>
        <w:ind w:left="3127" w:hanging="109"/>
      </w:pPr>
    </w:lvl>
    <w:lvl w:ilvl="4">
      <w:numFmt w:val="bullet"/>
      <w:lvlText w:val="•"/>
      <w:lvlJc w:val="left"/>
      <w:pPr>
        <w:ind w:left="4130" w:hanging="109"/>
      </w:pPr>
    </w:lvl>
    <w:lvl w:ilvl="5">
      <w:numFmt w:val="bullet"/>
      <w:lvlText w:val="•"/>
      <w:lvlJc w:val="left"/>
      <w:pPr>
        <w:ind w:left="5133" w:hanging="109"/>
      </w:pPr>
    </w:lvl>
    <w:lvl w:ilvl="6">
      <w:numFmt w:val="bullet"/>
      <w:lvlText w:val="•"/>
      <w:lvlJc w:val="left"/>
      <w:pPr>
        <w:ind w:left="6135" w:hanging="109"/>
      </w:pPr>
    </w:lvl>
    <w:lvl w:ilvl="7">
      <w:numFmt w:val="bullet"/>
      <w:lvlText w:val="•"/>
      <w:lvlJc w:val="left"/>
      <w:pPr>
        <w:ind w:left="7138" w:hanging="109"/>
      </w:pPr>
    </w:lvl>
    <w:lvl w:ilvl="8">
      <w:numFmt w:val="bullet"/>
      <w:lvlText w:val="•"/>
      <w:lvlJc w:val="left"/>
      <w:pPr>
        <w:ind w:left="8141" w:hanging="109"/>
      </w:pPr>
    </w:lvl>
  </w:abstractNum>
  <w:num w:numId="1" w16cid:durableId="1367489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B12"/>
    <w:rsid w:val="00160115"/>
    <w:rsid w:val="002C66CE"/>
    <w:rsid w:val="00440329"/>
    <w:rsid w:val="00477C9C"/>
    <w:rsid w:val="004D0092"/>
    <w:rsid w:val="00555B74"/>
    <w:rsid w:val="005A7B12"/>
    <w:rsid w:val="005E57D3"/>
    <w:rsid w:val="0077072F"/>
    <w:rsid w:val="007B4F4C"/>
    <w:rsid w:val="008B08AF"/>
    <w:rsid w:val="00963FCE"/>
    <w:rsid w:val="00B13CD3"/>
    <w:rsid w:val="00D83B02"/>
    <w:rsid w:val="00DD7E1A"/>
    <w:rsid w:val="00DE4A2A"/>
    <w:rsid w:val="00F701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9A84"/>
  <w15:docId w15:val="{EC42120F-9A77-4BE3-A193-BA5C724C7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color w:val="000000"/>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F8555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85554"/>
    <w:rPr>
      <w:rFonts w:ascii="Calibri" w:eastAsia="Calibri" w:hAnsi="Calibri" w:cs="Calibri"/>
      <w:color w:val="000000"/>
    </w:rPr>
  </w:style>
  <w:style w:type="paragraph" w:styleId="Rodap">
    <w:name w:val="footer"/>
    <w:basedOn w:val="Normal"/>
    <w:link w:val="RodapChar"/>
    <w:uiPriority w:val="99"/>
    <w:unhideWhenUsed/>
    <w:rsid w:val="00F85554"/>
    <w:pPr>
      <w:tabs>
        <w:tab w:val="center" w:pos="4252"/>
        <w:tab w:val="right" w:pos="8504"/>
      </w:tabs>
      <w:spacing w:after="0" w:line="240" w:lineRule="auto"/>
    </w:pPr>
  </w:style>
  <w:style w:type="character" w:customStyle="1" w:styleId="RodapChar">
    <w:name w:val="Rodapé Char"/>
    <w:basedOn w:val="Fontepargpadro"/>
    <w:link w:val="Rodap"/>
    <w:uiPriority w:val="99"/>
    <w:rsid w:val="00F85554"/>
    <w:rPr>
      <w:rFonts w:ascii="Calibri" w:eastAsia="Calibri" w:hAnsi="Calibri" w:cs="Calibri"/>
      <w:color w:val="000000"/>
    </w:rPr>
  </w:style>
  <w:style w:type="character" w:customStyle="1" w:styleId="Ttulo1Char">
    <w:name w:val="Título 1 Char"/>
    <w:basedOn w:val="Fontepargpadro"/>
    <w:rsid w:val="00D23E0B"/>
    <w:rPr>
      <w:rFonts w:ascii="Calibri" w:eastAsia="Calibri" w:hAnsi="Calibri" w:cs="Calibri"/>
      <w:b/>
      <w:kern w:val="0"/>
      <w:sz w:val="48"/>
      <w:szCs w:val="48"/>
    </w:rPr>
  </w:style>
  <w:style w:type="paragraph" w:styleId="Corpodetexto">
    <w:name w:val="Body Text"/>
    <w:basedOn w:val="Normal"/>
    <w:link w:val="CorpodetextoChar"/>
    <w:uiPriority w:val="1"/>
    <w:qFormat/>
    <w:rsid w:val="00D23E0B"/>
    <w:pPr>
      <w:widowControl w:val="0"/>
      <w:autoSpaceDE w:val="0"/>
      <w:autoSpaceDN w:val="0"/>
      <w:spacing w:after="0" w:line="240" w:lineRule="auto"/>
    </w:pPr>
    <w:rPr>
      <w:sz w:val="16"/>
      <w:szCs w:val="16"/>
      <w:lang w:val="pt-PT" w:eastAsia="en-US"/>
    </w:rPr>
  </w:style>
  <w:style w:type="character" w:customStyle="1" w:styleId="CorpodetextoChar">
    <w:name w:val="Corpo de texto Char"/>
    <w:basedOn w:val="Fontepargpadro"/>
    <w:link w:val="Corpodetexto"/>
    <w:uiPriority w:val="1"/>
    <w:rsid w:val="00D23E0B"/>
    <w:rPr>
      <w:rFonts w:ascii="Calibri" w:eastAsia="Calibri" w:hAnsi="Calibri" w:cs="Calibri"/>
      <w:kern w:val="0"/>
      <w:sz w:val="16"/>
      <w:szCs w:val="16"/>
      <w:lang w:val="pt-PT" w:eastAsia="en-US"/>
    </w:rPr>
  </w:style>
  <w:style w:type="paragraph" w:styleId="PargrafodaLista">
    <w:name w:val="List Paragraph"/>
    <w:basedOn w:val="Normal"/>
    <w:uiPriority w:val="1"/>
    <w:qFormat/>
    <w:rsid w:val="00D23E0B"/>
    <w:pPr>
      <w:widowControl w:val="0"/>
      <w:autoSpaceDE w:val="0"/>
      <w:autoSpaceDN w:val="0"/>
      <w:spacing w:after="0" w:line="240" w:lineRule="auto"/>
      <w:ind w:left="112" w:right="105"/>
      <w:jc w:val="both"/>
    </w:pPr>
    <w:rPr>
      <w:lang w:val="pt-PT" w:eastAsia="en-US"/>
    </w:rPr>
  </w:style>
  <w:style w:type="paragraph" w:customStyle="1" w:styleId="western">
    <w:name w:val="western"/>
    <w:basedOn w:val="Normal"/>
    <w:rsid w:val="00D23E0B"/>
    <w:pPr>
      <w:spacing w:before="100" w:beforeAutospacing="1" w:after="142" w:line="276" w:lineRule="auto"/>
    </w:pPr>
    <w:rPr>
      <w:rFonts w:eastAsia="Times New Roman"/>
    </w:rPr>
  </w:style>
  <w:style w:type="character" w:styleId="Hyperlink">
    <w:name w:val="Hyperlink"/>
    <w:basedOn w:val="Fontepargpadro"/>
    <w:uiPriority w:val="99"/>
    <w:unhideWhenUsed/>
    <w:rsid w:val="00A776BC"/>
    <w:rPr>
      <w:color w:val="0563C1" w:themeColor="hyperlink"/>
      <w:u w:val="single"/>
    </w:rPr>
  </w:style>
  <w:style w:type="character" w:styleId="MenoPendente">
    <w:name w:val="Unresolved Mention"/>
    <w:basedOn w:val="Fontepargpadro"/>
    <w:uiPriority w:val="99"/>
    <w:semiHidden/>
    <w:unhideWhenUsed/>
    <w:rsid w:val="00A776B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ridico@dhleiloes.com.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dhleiloes.com.br/" TargetMode="External"/><Relationship Id="rId4" Type="http://schemas.openxmlformats.org/officeDocument/2006/relationships/styles" Target="styles.xml"/><Relationship Id="rId9" Type="http://schemas.openxmlformats.org/officeDocument/2006/relationships/hyperlink" Target="http://www.dhleiloes.com.b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Hx2rKWL7cDgj04ImhaHslh9fg==">CgMxLjAyDmguaGQwNXEwZDZhcTRkOAByITFUOXA4UERXUDdXV1kwZGdqODZzNmRlMkVaRlF0U1ByLQ==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E7FA52-8646-4E9F-9E5D-1B1345651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2201</Words>
  <Characters>11891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Giordani Marques</dc:creator>
  <cp:lastModifiedBy>Assertiva Editais</cp:lastModifiedBy>
  <cp:revision>8</cp:revision>
  <dcterms:created xsi:type="dcterms:W3CDTF">2025-12-09T18:35:00Z</dcterms:created>
  <dcterms:modified xsi:type="dcterms:W3CDTF">2026-04-06T16:51:00Z</dcterms:modified>
</cp:coreProperties>
</file>